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31D2C" w14:textId="77777777" w:rsidR="00C64B1B" w:rsidRDefault="00C64B1B" w:rsidP="00C64B1B">
      <w:pPr>
        <w:jc w:val="center"/>
      </w:pPr>
      <w:bookmarkStart w:id="0" w:name="_GoBack"/>
      <w:bookmarkEnd w:id="0"/>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5103"/>
        <w:gridCol w:w="3260"/>
        <w:gridCol w:w="3260"/>
      </w:tblGrid>
      <w:tr w:rsidR="00A06425" w:rsidRPr="00A06425" w14:paraId="55631D2E" w14:textId="77777777" w:rsidTr="00965831">
        <w:tc>
          <w:tcPr>
            <w:tcW w:w="15162" w:type="dxa"/>
            <w:gridSpan w:val="6"/>
            <w:shd w:val="clear" w:color="auto" w:fill="auto"/>
            <w:vAlign w:val="center"/>
          </w:tcPr>
          <w:p w14:paraId="55631D2D" w14:textId="7F2FB9AA" w:rsidR="00A06425" w:rsidRPr="00645C6B" w:rsidRDefault="00A06425" w:rsidP="00C553F4">
            <w:pPr>
              <w:spacing w:before="120" w:after="120"/>
              <w:rPr>
                <w:rFonts w:asciiTheme="minorHAnsi" w:hAnsiTheme="minorHAnsi" w:cstheme="minorHAnsi"/>
                <w:sz w:val="22"/>
                <w:szCs w:val="22"/>
              </w:rPr>
            </w:pPr>
            <w:r w:rsidRPr="00A06425">
              <w:rPr>
                <w:rFonts w:asciiTheme="minorHAnsi" w:hAnsiTheme="minorHAnsi" w:cstheme="minorHAnsi"/>
                <w:b/>
                <w:i/>
                <w:sz w:val="22"/>
                <w:szCs w:val="22"/>
              </w:rPr>
              <w:t>Nazwa dokumentu:</w:t>
            </w:r>
            <w:r w:rsidR="00645C6B">
              <w:rPr>
                <w:rFonts w:asciiTheme="minorHAnsi" w:hAnsiTheme="minorHAnsi" w:cstheme="minorHAnsi"/>
                <w:sz w:val="22"/>
                <w:szCs w:val="22"/>
              </w:rPr>
              <w:t xml:space="preserve"> </w:t>
            </w:r>
            <w:r w:rsidR="002F0F2A">
              <w:rPr>
                <w:rFonts w:asciiTheme="minorHAnsi" w:hAnsiTheme="minorHAnsi" w:cstheme="minorHAnsi"/>
                <w:sz w:val="22"/>
                <w:szCs w:val="22"/>
              </w:rPr>
              <w:t>Tabela uwag zgłoszonych w toku uzgodnień i opiniowania projektu rozporządzenia</w:t>
            </w:r>
            <w:r w:rsidR="00C553F4">
              <w:rPr>
                <w:rFonts w:asciiTheme="minorHAnsi" w:hAnsiTheme="minorHAnsi" w:cstheme="minorHAnsi"/>
                <w:sz w:val="22"/>
                <w:szCs w:val="22"/>
              </w:rPr>
              <w:t xml:space="preserve"> Ministra Cyfryzacji </w:t>
            </w:r>
            <w:r w:rsidR="00C553F4" w:rsidRPr="00C553F4">
              <w:rPr>
                <w:rFonts w:asciiTheme="minorHAnsi" w:hAnsiTheme="minorHAnsi" w:cstheme="minorHAnsi"/>
                <w:sz w:val="22"/>
                <w:szCs w:val="22"/>
              </w:rPr>
              <w:t xml:space="preserve">w sprawie udzielania </w:t>
            </w:r>
            <w:r w:rsidR="005674DD">
              <w:rPr>
                <w:rFonts w:asciiTheme="minorHAnsi" w:hAnsiTheme="minorHAnsi" w:cstheme="minorHAnsi"/>
                <w:sz w:val="22"/>
                <w:szCs w:val="22"/>
              </w:rPr>
              <w:t>pomocy</w:t>
            </w:r>
            <w:r w:rsidR="00C553F4" w:rsidRPr="00C553F4">
              <w:rPr>
                <w:rFonts w:asciiTheme="minorHAnsi" w:hAnsiTheme="minorHAnsi" w:cstheme="minorHAnsi"/>
                <w:sz w:val="22"/>
                <w:szCs w:val="22"/>
              </w:rPr>
              <w:t xml:space="preserve"> na rozwój infrastruktury szerokopasmowej w ramach Krajowego Planu Odbudowy i Zwiększenia Odporności</w:t>
            </w:r>
          </w:p>
        </w:tc>
      </w:tr>
      <w:tr w:rsidR="00A06425" w:rsidRPr="00A06425" w14:paraId="55631D35" w14:textId="77777777" w:rsidTr="00965831">
        <w:tc>
          <w:tcPr>
            <w:tcW w:w="562" w:type="dxa"/>
            <w:shd w:val="clear" w:color="auto" w:fill="auto"/>
            <w:vAlign w:val="center"/>
          </w:tcPr>
          <w:p w14:paraId="55631D2F"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55631D3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55631D3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5103" w:type="dxa"/>
            <w:shd w:val="clear" w:color="auto" w:fill="auto"/>
            <w:vAlign w:val="center"/>
          </w:tcPr>
          <w:p w14:paraId="55631D3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260" w:type="dxa"/>
            <w:shd w:val="clear" w:color="auto" w:fill="auto"/>
            <w:vAlign w:val="center"/>
          </w:tcPr>
          <w:p w14:paraId="55631D3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260" w:type="dxa"/>
            <w:vAlign w:val="center"/>
          </w:tcPr>
          <w:p w14:paraId="55631D34"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55631D3C" w14:textId="77777777" w:rsidTr="00965831">
        <w:tc>
          <w:tcPr>
            <w:tcW w:w="562" w:type="dxa"/>
            <w:shd w:val="clear" w:color="auto" w:fill="auto"/>
          </w:tcPr>
          <w:p w14:paraId="55631D36" w14:textId="77777777" w:rsidR="00A06425" w:rsidRPr="00965831" w:rsidRDefault="00A06425" w:rsidP="00965831">
            <w:pPr>
              <w:pStyle w:val="Akapitzlist"/>
              <w:numPr>
                <w:ilvl w:val="0"/>
                <w:numId w:val="3"/>
              </w:numPr>
              <w:spacing w:before="120" w:after="120"/>
              <w:ind w:left="454" w:hanging="454"/>
              <w:jc w:val="center"/>
              <w:rPr>
                <w:rFonts w:asciiTheme="minorHAnsi" w:hAnsiTheme="minorHAnsi" w:cstheme="minorHAnsi"/>
                <w:b/>
                <w:sz w:val="22"/>
                <w:szCs w:val="22"/>
              </w:rPr>
            </w:pPr>
            <w:r w:rsidRPr="00965831">
              <w:rPr>
                <w:rFonts w:asciiTheme="minorHAnsi" w:hAnsiTheme="minorHAnsi" w:cstheme="minorHAnsi"/>
                <w:b/>
                <w:sz w:val="22"/>
                <w:szCs w:val="22"/>
              </w:rPr>
              <w:t>1</w:t>
            </w:r>
          </w:p>
        </w:tc>
        <w:tc>
          <w:tcPr>
            <w:tcW w:w="1134" w:type="dxa"/>
            <w:shd w:val="clear" w:color="auto" w:fill="auto"/>
          </w:tcPr>
          <w:p w14:paraId="55631D37" w14:textId="318241E2" w:rsidR="00A06425" w:rsidRPr="00A06425" w:rsidRDefault="00E260CB" w:rsidP="00645C6B">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55631D38" w14:textId="729740D7" w:rsidR="00A06425" w:rsidRPr="00A06425" w:rsidRDefault="00E260CB" w:rsidP="0084080C">
            <w:pPr>
              <w:rPr>
                <w:rFonts w:asciiTheme="minorHAnsi" w:hAnsiTheme="minorHAnsi" w:cstheme="minorHAnsi"/>
                <w:sz w:val="22"/>
                <w:szCs w:val="22"/>
              </w:rPr>
            </w:pPr>
            <w:r>
              <w:rPr>
                <w:rFonts w:asciiTheme="minorHAnsi" w:hAnsiTheme="minorHAnsi" w:cstheme="minorHAnsi"/>
                <w:sz w:val="22"/>
                <w:szCs w:val="22"/>
              </w:rPr>
              <w:t>Uwaga ogólna</w:t>
            </w:r>
          </w:p>
        </w:tc>
        <w:tc>
          <w:tcPr>
            <w:tcW w:w="5103" w:type="dxa"/>
            <w:shd w:val="clear" w:color="auto" w:fill="auto"/>
          </w:tcPr>
          <w:p w14:paraId="55631D39" w14:textId="33DAF935" w:rsidR="00A06425" w:rsidRPr="00A06425" w:rsidRDefault="00E260CB" w:rsidP="00E260CB">
            <w:pPr>
              <w:rPr>
                <w:rFonts w:asciiTheme="minorHAnsi" w:hAnsiTheme="minorHAnsi" w:cstheme="minorHAnsi"/>
                <w:sz w:val="22"/>
                <w:szCs w:val="22"/>
              </w:rPr>
            </w:pPr>
            <w:r>
              <w:rPr>
                <w:rFonts w:asciiTheme="minorHAnsi" w:hAnsiTheme="minorHAnsi" w:cstheme="minorHAnsi"/>
                <w:sz w:val="22"/>
                <w:szCs w:val="22"/>
              </w:rPr>
              <w:t>Z</w:t>
            </w:r>
            <w:r w:rsidRPr="00E260CB">
              <w:rPr>
                <w:rFonts w:asciiTheme="minorHAnsi" w:hAnsiTheme="minorHAnsi" w:cstheme="minorHAnsi"/>
                <w:sz w:val="22"/>
                <w:szCs w:val="22"/>
              </w:rPr>
              <w:t xml:space="preserve">auważenia wymaga, że w przepisie upoważniającym do wydania projektowanego aktu wykonawczego, tj. w art. 14lc ust. 4 ustawy z dnia 6 grudnia 2006 r. o zasadach prowadzenia polityki rozwoju (Dz. U. z 2021 r. poz. 1057, z późn. zm.) w zakresie spraw przekazanych do uregulowania zawarto m.in. „szczegółowe przeznaczenie, warunki i tryb udzielania pomocy publicznej”, projekt natomiast posługuje się pojęciem „wsparcie”. </w:t>
            </w:r>
          </w:p>
        </w:tc>
        <w:tc>
          <w:tcPr>
            <w:tcW w:w="3260" w:type="dxa"/>
            <w:shd w:val="clear" w:color="auto" w:fill="auto"/>
          </w:tcPr>
          <w:p w14:paraId="55631D3A" w14:textId="15B3E5C4" w:rsidR="00307BC0" w:rsidRPr="00307BC0" w:rsidRDefault="00E260CB" w:rsidP="004A17EA">
            <w:pPr>
              <w:rPr>
                <w:rFonts w:asciiTheme="minorHAnsi" w:hAnsiTheme="minorHAnsi" w:cstheme="minorHAnsi"/>
                <w:sz w:val="22"/>
                <w:szCs w:val="22"/>
              </w:rPr>
            </w:pPr>
            <w:r w:rsidRPr="00E260CB">
              <w:rPr>
                <w:rFonts w:asciiTheme="minorHAnsi" w:hAnsiTheme="minorHAnsi" w:cstheme="minorHAnsi"/>
                <w:sz w:val="22"/>
                <w:szCs w:val="22"/>
              </w:rPr>
              <w:t>W związku z tym mając na względzie § 10 załącznika do rozporządzenia Prezesa Rady Ministrów z dnia 20 czerwca 2002 r. w sprawie „Zasad techniki prawodawczej” (Dz. U. z 2016 r. poz. 283), zgodnie z którym „Do oznaczenia jednakowych pojęć używa się jednakowych określeń, a różnych pojęć nie oznacza się tymi samymi określeniami” pojęcie „wsparcie” należy zastąpić pojęciem „pomoc”</w:t>
            </w:r>
          </w:p>
        </w:tc>
        <w:tc>
          <w:tcPr>
            <w:tcW w:w="3260" w:type="dxa"/>
          </w:tcPr>
          <w:p w14:paraId="4B1DB231" w14:textId="77777777" w:rsidR="00A06425" w:rsidRDefault="004825D7" w:rsidP="00534931">
            <w:pPr>
              <w:rPr>
                <w:rFonts w:asciiTheme="minorHAnsi" w:hAnsiTheme="minorHAnsi" w:cstheme="minorHAnsi"/>
                <w:sz w:val="22"/>
                <w:szCs w:val="22"/>
              </w:rPr>
            </w:pPr>
            <w:r>
              <w:rPr>
                <w:rFonts w:asciiTheme="minorHAnsi" w:hAnsiTheme="minorHAnsi" w:cstheme="minorHAnsi"/>
                <w:sz w:val="22"/>
                <w:szCs w:val="22"/>
              </w:rPr>
              <w:t>Uwaga uwzględniona</w:t>
            </w:r>
          </w:p>
          <w:p w14:paraId="4D49DEC9" w14:textId="77777777" w:rsidR="00534931" w:rsidRDefault="00534931" w:rsidP="00534931">
            <w:pPr>
              <w:rPr>
                <w:rFonts w:asciiTheme="minorHAnsi" w:hAnsiTheme="minorHAnsi" w:cstheme="minorHAnsi"/>
                <w:sz w:val="22"/>
                <w:szCs w:val="22"/>
              </w:rPr>
            </w:pPr>
          </w:p>
          <w:p w14:paraId="55631D3B" w14:textId="62592CB4"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Projektowane przepisy przeformułowano.</w:t>
            </w:r>
          </w:p>
        </w:tc>
      </w:tr>
      <w:tr w:rsidR="000864B9" w:rsidRPr="00A06425" w14:paraId="55631D43" w14:textId="77777777" w:rsidTr="00965831">
        <w:tc>
          <w:tcPr>
            <w:tcW w:w="562" w:type="dxa"/>
            <w:shd w:val="clear" w:color="auto" w:fill="auto"/>
          </w:tcPr>
          <w:p w14:paraId="55631D3D" w14:textId="77777777" w:rsidR="000864B9" w:rsidRPr="00965831" w:rsidRDefault="000864B9" w:rsidP="00965831">
            <w:pPr>
              <w:pStyle w:val="Akapitzlist"/>
              <w:numPr>
                <w:ilvl w:val="0"/>
                <w:numId w:val="3"/>
              </w:numPr>
              <w:spacing w:before="120" w:after="120"/>
              <w:ind w:left="454" w:hanging="454"/>
              <w:jc w:val="center"/>
              <w:rPr>
                <w:rFonts w:asciiTheme="minorHAnsi" w:hAnsiTheme="minorHAnsi" w:cstheme="minorHAnsi"/>
                <w:b/>
                <w:sz w:val="22"/>
                <w:szCs w:val="22"/>
              </w:rPr>
            </w:pPr>
            <w:r w:rsidRPr="00965831">
              <w:rPr>
                <w:rFonts w:asciiTheme="minorHAnsi" w:hAnsiTheme="minorHAnsi" w:cstheme="minorHAnsi"/>
                <w:b/>
                <w:sz w:val="22"/>
                <w:szCs w:val="22"/>
              </w:rPr>
              <w:t>2</w:t>
            </w:r>
          </w:p>
        </w:tc>
        <w:tc>
          <w:tcPr>
            <w:tcW w:w="1134" w:type="dxa"/>
            <w:shd w:val="clear" w:color="auto" w:fill="auto"/>
          </w:tcPr>
          <w:p w14:paraId="55631D3E" w14:textId="254E2004" w:rsidR="000864B9" w:rsidRPr="00A06425" w:rsidRDefault="000864B9" w:rsidP="000864B9">
            <w:pPr>
              <w:spacing w:before="60" w:after="60"/>
              <w:jc w:val="center"/>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5631D3F" w14:textId="7EB4319B" w:rsidR="000864B9" w:rsidRPr="00520FEB" w:rsidRDefault="00520FEB" w:rsidP="000864B9">
            <w:pPr>
              <w:rPr>
                <w:rFonts w:asciiTheme="minorHAnsi" w:hAnsiTheme="minorHAnsi" w:cstheme="minorHAnsi"/>
                <w:sz w:val="22"/>
                <w:szCs w:val="22"/>
                <w:lang w:bidi="pl-PL"/>
              </w:rPr>
            </w:pPr>
            <w:r w:rsidRPr="00520FEB">
              <w:rPr>
                <w:rFonts w:asciiTheme="minorHAnsi" w:hAnsiTheme="minorHAnsi" w:cstheme="minorHAnsi"/>
                <w:sz w:val="22"/>
                <w:szCs w:val="22"/>
                <w:lang w:bidi="pl-PL"/>
              </w:rPr>
              <w:t>Uwaga ogólna</w:t>
            </w:r>
          </w:p>
        </w:tc>
        <w:tc>
          <w:tcPr>
            <w:tcW w:w="5103" w:type="dxa"/>
            <w:shd w:val="clear" w:color="auto" w:fill="auto"/>
          </w:tcPr>
          <w:p w14:paraId="4E96F2CF" w14:textId="4C7F69F8" w:rsidR="000864B9" w:rsidRPr="00E260CB" w:rsidRDefault="000864B9" w:rsidP="000864B9">
            <w:pPr>
              <w:rPr>
                <w:rFonts w:asciiTheme="minorHAnsi" w:hAnsiTheme="minorHAnsi" w:cstheme="minorHAnsi"/>
                <w:sz w:val="22"/>
                <w:szCs w:val="22"/>
              </w:rPr>
            </w:pPr>
            <w:r w:rsidRPr="00E260CB">
              <w:rPr>
                <w:rFonts w:asciiTheme="minorHAnsi" w:hAnsiTheme="minorHAnsi" w:cstheme="minorHAnsi"/>
                <w:sz w:val="22"/>
                <w:szCs w:val="22"/>
              </w:rPr>
              <w:t>biorąc pod uwagę brzmienie upoważnienia ustawowego zawartego w art. 14lc ust. 4</w:t>
            </w:r>
            <w:r>
              <w:rPr>
                <w:rFonts w:asciiTheme="minorHAnsi" w:hAnsiTheme="minorHAnsi" w:cstheme="minorHAnsi"/>
                <w:sz w:val="22"/>
                <w:szCs w:val="22"/>
              </w:rPr>
              <w:t xml:space="preserve"> </w:t>
            </w:r>
            <w:r w:rsidRPr="00E260CB">
              <w:rPr>
                <w:rFonts w:asciiTheme="minorHAnsi" w:hAnsiTheme="minorHAnsi" w:cstheme="minorHAnsi"/>
                <w:sz w:val="22"/>
                <w:szCs w:val="22"/>
              </w:rPr>
              <w:t>ustawy z dnia 6 grudnia 2006 r. o zasadach prowadzenia polityki rozwoju, zgodnie z którym</w:t>
            </w:r>
            <w:r>
              <w:rPr>
                <w:rFonts w:asciiTheme="minorHAnsi" w:hAnsiTheme="minorHAnsi" w:cstheme="minorHAnsi"/>
                <w:sz w:val="22"/>
                <w:szCs w:val="22"/>
              </w:rPr>
              <w:t xml:space="preserve"> </w:t>
            </w:r>
            <w:r w:rsidRPr="00E260CB">
              <w:rPr>
                <w:rFonts w:asciiTheme="minorHAnsi" w:hAnsiTheme="minorHAnsi" w:cstheme="minorHAnsi"/>
                <w:sz w:val="22"/>
                <w:szCs w:val="22"/>
              </w:rPr>
              <w:t>właściwy minister pełniący funkcję instytucji odpowiedzialnej za realizację inwestycji może</w:t>
            </w:r>
            <w:r>
              <w:rPr>
                <w:rFonts w:asciiTheme="minorHAnsi" w:hAnsiTheme="minorHAnsi" w:cstheme="minorHAnsi"/>
                <w:sz w:val="22"/>
                <w:szCs w:val="22"/>
              </w:rPr>
              <w:t xml:space="preserve"> </w:t>
            </w:r>
            <w:r w:rsidRPr="00E260CB">
              <w:rPr>
                <w:rFonts w:asciiTheme="minorHAnsi" w:hAnsiTheme="minorHAnsi" w:cstheme="minorHAnsi"/>
                <w:sz w:val="22"/>
                <w:szCs w:val="22"/>
              </w:rPr>
              <w:t>określić, w drodze rozporządzenia, szczegółowe przeznaczenie, warunki i tryb udzielania</w:t>
            </w:r>
          </w:p>
          <w:p w14:paraId="55631D40" w14:textId="530E4551" w:rsidR="000864B9" w:rsidRPr="00A06425" w:rsidRDefault="000864B9" w:rsidP="000864B9">
            <w:pPr>
              <w:rPr>
                <w:rFonts w:asciiTheme="minorHAnsi" w:hAnsiTheme="minorHAnsi" w:cstheme="minorHAnsi"/>
                <w:sz w:val="22"/>
                <w:szCs w:val="22"/>
              </w:rPr>
            </w:pPr>
            <w:r w:rsidRPr="00E260CB">
              <w:rPr>
                <w:rFonts w:asciiTheme="minorHAnsi" w:hAnsiTheme="minorHAnsi" w:cstheme="minorHAnsi"/>
                <w:sz w:val="22"/>
                <w:szCs w:val="22"/>
              </w:rPr>
              <w:t>pomocy publicznej w rozumieniu art. 107 ust. 1 Traktatu o funkcjonowaniu Unii</w:t>
            </w:r>
            <w:r>
              <w:rPr>
                <w:rFonts w:asciiTheme="minorHAnsi" w:hAnsiTheme="minorHAnsi" w:cstheme="minorHAnsi"/>
                <w:sz w:val="22"/>
                <w:szCs w:val="22"/>
              </w:rPr>
              <w:t xml:space="preserve"> </w:t>
            </w:r>
            <w:r w:rsidRPr="00E260CB">
              <w:rPr>
                <w:rFonts w:asciiTheme="minorHAnsi" w:hAnsiTheme="minorHAnsi" w:cstheme="minorHAnsi"/>
                <w:sz w:val="22"/>
                <w:szCs w:val="22"/>
              </w:rPr>
              <w:t>Europejskiej, pomocy de minimis lub pomocy de minimis w rolnictwie lub rybołówstwie oraz</w:t>
            </w:r>
            <w:r>
              <w:rPr>
                <w:rFonts w:asciiTheme="minorHAnsi" w:hAnsiTheme="minorHAnsi" w:cstheme="minorHAnsi"/>
                <w:sz w:val="22"/>
                <w:szCs w:val="22"/>
              </w:rPr>
              <w:t xml:space="preserve"> </w:t>
            </w:r>
            <w:r w:rsidRPr="00E260CB">
              <w:rPr>
                <w:rFonts w:asciiTheme="minorHAnsi" w:hAnsiTheme="minorHAnsi" w:cstheme="minorHAnsi"/>
                <w:sz w:val="22"/>
                <w:szCs w:val="22"/>
              </w:rPr>
              <w:t>podmioty jej udzielające – należy zauważyć, iż projektowany akt de facto reguluje ww.</w:t>
            </w:r>
            <w:r>
              <w:rPr>
                <w:rFonts w:asciiTheme="minorHAnsi" w:hAnsiTheme="minorHAnsi" w:cstheme="minorHAnsi"/>
                <w:sz w:val="22"/>
                <w:szCs w:val="22"/>
              </w:rPr>
              <w:t xml:space="preserve"> </w:t>
            </w:r>
            <w:r w:rsidRPr="00E260CB">
              <w:rPr>
                <w:rFonts w:asciiTheme="minorHAnsi" w:hAnsiTheme="minorHAnsi" w:cstheme="minorHAnsi"/>
                <w:sz w:val="22"/>
                <w:szCs w:val="22"/>
              </w:rPr>
              <w:t>kwestie w odniesieniu do bezzwrotnego wsparcia finansowego.</w:t>
            </w:r>
          </w:p>
        </w:tc>
        <w:tc>
          <w:tcPr>
            <w:tcW w:w="3260" w:type="dxa"/>
            <w:shd w:val="clear" w:color="auto" w:fill="auto"/>
          </w:tcPr>
          <w:p w14:paraId="55631D41" w14:textId="60B213D7" w:rsidR="000864B9" w:rsidRPr="00A06425" w:rsidRDefault="000864B9" w:rsidP="000864B9">
            <w:pPr>
              <w:rPr>
                <w:rFonts w:asciiTheme="minorHAnsi" w:hAnsiTheme="minorHAnsi" w:cstheme="minorHAnsi"/>
                <w:sz w:val="22"/>
                <w:szCs w:val="22"/>
              </w:rPr>
            </w:pPr>
            <w:r w:rsidRPr="00E260CB">
              <w:rPr>
                <w:rFonts w:asciiTheme="minorHAnsi" w:hAnsiTheme="minorHAnsi" w:cstheme="minorHAnsi"/>
                <w:sz w:val="22"/>
                <w:szCs w:val="22"/>
              </w:rPr>
              <w:t>Wobec powyższego, jako że z</w:t>
            </w:r>
            <w:r>
              <w:rPr>
                <w:rFonts w:asciiTheme="minorHAnsi" w:hAnsiTheme="minorHAnsi" w:cstheme="minorHAnsi"/>
                <w:sz w:val="22"/>
                <w:szCs w:val="22"/>
              </w:rPr>
              <w:t xml:space="preserve"> </w:t>
            </w:r>
            <w:r w:rsidRPr="00E260CB">
              <w:rPr>
                <w:rFonts w:asciiTheme="minorHAnsi" w:hAnsiTheme="minorHAnsi" w:cstheme="minorHAnsi"/>
                <w:sz w:val="22"/>
                <w:szCs w:val="22"/>
              </w:rPr>
              <w:t>uzasadnienia projektu rozporządzenia wynika, iż takie wsparcie jest jedynie formą udzielenia</w:t>
            </w:r>
            <w:r>
              <w:rPr>
                <w:rFonts w:asciiTheme="minorHAnsi" w:hAnsiTheme="minorHAnsi" w:cstheme="minorHAnsi"/>
                <w:sz w:val="22"/>
                <w:szCs w:val="22"/>
              </w:rPr>
              <w:t xml:space="preserve"> </w:t>
            </w:r>
            <w:r w:rsidRPr="00E260CB">
              <w:rPr>
                <w:rFonts w:asciiTheme="minorHAnsi" w:hAnsiTheme="minorHAnsi" w:cstheme="minorHAnsi"/>
                <w:sz w:val="22"/>
                <w:szCs w:val="22"/>
              </w:rPr>
              <w:t>pomocy publicznej, rozważyć należy wskazanie w § 1 ust. 1 jedynie – ogólnie – na podmiot</w:t>
            </w:r>
            <w:r>
              <w:rPr>
                <w:rFonts w:asciiTheme="minorHAnsi" w:hAnsiTheme="minorHAnsi" w:cstheme="minorHAnsi"/>
                <w:sz w:val="22"/>
                <w:szCs w:val="22"/>
              </w:rPr>
              <w:t xml:space="preserve"> </w:t>
            </w:r>
            <w:r w:rsidRPr="00E260CB">
              <w:rPr>
                <w:rFonts w:asciiTheme="minorHAnsi" w:hAnsiTheme="minorHAnsi" w:cstheme="minorHAnsi"/>
                <w:sz w:val="22"/>
                <w:szCs w:val="22"/>
              </w:rPr>
              <w:t>udzielający pomocy publicznej i niedookreślanie charakteru tej pomocy, zaś w odrębnym</w:t>
            </w:r>
            <w:r>
              <w:rPr>
                <w:rFonts w:asciiTheme="minorHAnsi" w:hAnsiTheme="minorHAnsi" w:cstheme="minorHAnsi"/>
                <w:sz w:val="22"/>
                <w:szCs w:val="22"/>
              </w:rPr>
              <w:t xml:space="preserve"> </w:t>
            </w:r>
            <w:r w:rsidRPr="00E260CB">
              <w:rPr>
                <w:rFonts w:asciiTheme="minorHAnsi" w:hAnsiTheme="minorHAnsi" w:cstheme="minorHAnsi"/>
                <w:sz w:val="22"/>
                <w:szCs w:val="22"/>
              </w:rPr>
              <w:t>przepisie konkretnie przesądzić o podmiocie udzielającym pomocy (Centrum Projektów</w:t>
            </w:r>
            <w:r>
              <w:rPr>
                <w:rFonts w:asciiTheme="minorHAnsi" w:hAnsiTheme="minorHAnsi" w:cstheme="minorHAnsi"/>
                <w:sz w:val="22"/>
                <w:szCs w:val="22"/>
              </w:rPr>
              <w:t xml:space="preserve"> </w:t>
            </w:r>
            <w:r w:rsidRPr="00E260CB">
              <w:rPr>
                <w:rFonts w:asciiTheme="minorHAnsi" w:hAnsiTheme="minorHAnsi" w:cstheme="minorHAnsi"/>
                <w:sz w:val="22"/>
                <w:szCs w:val="22"/>
              </w:rPr>
              <w:t>Polska Cyfrowa) oraz o jej formie (bezzwrotne wsparcie finansowe przeznaczone na pokrycie</w:t>
            </w:r>
            <w:r>
              <w:rPr>
                <w:rFonts w:asciiTheme="minorHAnsi" w:hAnsiTheme="minorHAnsi" w:cstheme="minorHAnsi"/>
                <w:sz w:val="22"/>
                <w:szCs w:val="22"/>
              </w:rPr>
              <w:t xml:space="preserve"> </w:t>
            </w:r>
            <w:r w:rsidRPr="00E260CB">
              <w:rPr>
                <w:rFonts w:asciiTheme="minorHAnsi" w:hAnsiTheme="minorHAnsi" w:cstheme="minorHAnsi"/>
                <w:sz w:val="22"/>
                <w:szCs w:val="22"/>
              </w:rPr>
              <w:t xml:space="preserve">części lub całości </w:t>
            </w:r>
            <w:r w:rsidRPr="00E260CB">
              <w:rPr>
                <w:rFonts w:asciiTheme="minorHAnsi" w:hAnsiTheme="minorHAnsi" w:cstheme="minorHAnsi"/>
                <w:sz w:val="22"/>
                <w:szCs w:val="22"/>
              </w:rPr>
              <w:lastRenderedPageBreak/>
              <w:t>wydatków kwalifikujących się do objęcia wsparciem);</w:t>
            </w:r>
          </w:p>
        </w:tc>
        <w:tc>
          <w:tcPr>
            <w:tcW w:w="3260" w:type="dxa"/>
          </w:tcPr>
          <w:p w14:paraId="36E3740C" w14:textId="77777777" w:rsidR="000864B9" w:rsidRDefault="00520FEB" w:rsidP="00534931">
            <w:pPr>
              <w:rPr>
                <w:rFonts w:asciiTheme="minorHAnsi" w:hAnsiTheme="minorHAnsi" w:cstheme="minorHAnsi"/>
                <w:sz w:val="22"/>
                <w:szCs w:val="22"/>
              </w:rPr>
            </w:pPr>
            <w:r w:rsidRPr="00520FEB">
              <w:rPr>
                <w:rFonts w:asciiTheme="minorHAnsi" w:hAnsiTheme="minorHAnsi" w:cstheme="minorHAnsi"/>
                <w:sz w:val="22"/>
                <w:szCs w:val="22"/>
              </w:rPr>
              <w:lastRenderedPageBreak/>
              <w:t>Uwaga uwzględniona</w:t>
            </w:r>
          </w:p>
          <w:p w14:paraId="4EE7CE52" w14:textId="77777777" w:rsidR="00534931" w:rsidRDefault="00534931" w:rsidP="00534931">
            <w:pPr>
              <w:rPr>
                <w:rFonts w:asciiTheme="minorHAnsi" w:hAnsiTheme="minorHAnsi" w:cstheme="minorHAnsi"/>
                <w:sz w:val="22"/>
                <w:szCs w:val="22"/>
              </w:rPr>
            </w:pPr>
          </w:p>
          <w:p w14:paraId="55631D42" w14:textId="2DE2F116"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Projektowane przepisy przeformułowano.</w:t>
            </w:r>
          </w:p>
        </w:tc>
      </w:tr>
      <w:tr w:rsidR="000864B9" w:rsidRPr="00A06425" w14:paraId="55631D4A" w14:textId="77777777" w:rsidTr="00965831">
        <w:tc>
          <w:tcPr>
            <w:tcW w:w="562" w:type="dxa"/>
            <w:shd w:val="clear" w:color="auto" w:fill="auto"/>
          </w:tcPr>
          <w:p w14:paraId="55631D44"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3</w:t>
            </w:r>
          </w:p>
        </w:tc>
        <w:tc>
          <w:tcPr>
            <w:tcW w:w="1134" w:type="dxa"/>
            <w:shd w:val="clear" w:color="auto" w:fill="auto"/>
          </w:tcPr>
          <w:p w14:paraId="55631D45" w14:textId="412EFADE"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5631D46" w14:textId="41119801" w:rsidR="000864B9" w:rsidRPr="00A06425" w:rsidRDefault="000864B9" w:rsidP="000864B9">
            <w:pPr>
              <w:rPr>
                <w:rFonts w:asciiTheme="minorHAnsi" w:hAnsiTheme="minorHAnsi" w:cstheme="minorHAnsi"/>
                <w:sz w:val="22"/>
                <w:szCs w:val="22"/>
              </w:rPr>
            </w:pPr>
            <w:r w:rsidRPr="00C62AE1">
              <w:rPr>
                <w:rFonts w:asciiTheme="minorHAnsi" w:hAnsiTheme="minorHAnsi" w:cstheme="minorHAnsi"/>
                <w:sz w:val="22"/>
                <w:szCs w:val="22"/>
              </w:rPr>
              <w:t>§ 1 ust. 2</w:t>
            </w:r>
          </w:p>
        </w:tc>
        <w:tc>
          <w:tcPr>
            <w:tcW w:w="5103" w:type="dxa"/>
            <w:shd w:val="clear" w:color="auto" w:fill="auto"/>
          </w:tcPr>
          <w:p w14:paraId="55631D47" w14:textId="3B7D701E" w:rsidR="000864B9" w:rsidRPr="00A06425" w:rsidRDefault="000864B9" w:rsidP="000864B9">
            <w:pPr>
              <w:rPr>
                <w:rFonts w:asciiTheme="minorHAnsi" w:hAnsiTheme="minorHAnsi" w:cstheme="minorHAnsi"/>
                <w:sz w:val="22"/>
                <w:szCs w:val="22"/>
              </w:rPr>
            </w:pPr>
            <w:r w:rsidRPr="00E260CB">
              <w:rPr>
                <w:rFonts w:asciiTheme="minorHAnsi" w:hAnsiTheme="minorHAnsi" w:cstheme="minorHAnsi"/>
                <w:sz w:val="22"/>
                <w:szCs w:val="22"/>
              </w:rPr>
              <w:t>wyjaśnienia wymaga konieczność zawarcia w projektowanym akcie przepisu § 1 ust. 2 – czyli katalogu działalności oraz rodzajów pomocy, co do których nie udziela się wsparcia. Upoważnienie ustawowe obliguje jedynie do określenia „szczegółowego przeznaczenia” pomocy, co Wnioskodawca czyni w § 3 i § 4. Wyszczególnienie negatywnego katalogu przypadków udzielenia pomocy w ramach Krajowego Planu Odbudowy i Zwiększania Odporności budzi wątpliwości także o tyle, iż przepisy, do których się odsyła i tak stanowią o wyłączeniach z zakresu stosowania rozporządzenia Komisji (UE) nr 651/2014. Dodatkowo niejasne pozostaje powiązanie tych wyłączanych działalności czy rodzajów pomocy z zakresem regulacji niniejszego projektu dotyczącym infrastruktury szerokopasmowej (wyłączane działalności i pomoce dotyczą bowiem w głównej mierze pomocy przyznawanej na działalność związaną z wywozem do państw trzecich lub państw członkowskich, pomocy uwarunkowanej pierwszeństwem użycia towarów produkcji krajowej w stosunku do towarów sprowadzanych z zagranicy, programów pomocy, które nie wykluczają wyraźnie możliwości wypłacenia pomocy indywidualnej na rzecz przedsiębiorstwa, pomocy dla przedsiębiorstw znajdujących się w trudnej sytuacji, pomocy przyznawanej w sektorze rybołówstwa i akwakultury, pomocy przyznawanej w sektorze produkcji podstawowej produktów rolnych, pomocy przyznawanej w sektorze przetwarzania i wprowadzania do obrotu produktów rolnych);</w:t>
            </w:r>
          </w:p>
        </w:tc>
        <w:tc>
          <w:tcPr>
            <w:tcW w:w="3260" w:type="dxa"/>
            <w:shd w:val="clear" w:color="auto" w:fill="auto"/>
          </w:tcPr>
          <w:p w14:paraId="55631D48" w14:textId="77777777" w:rsidR="000864B9" w:rsidRPr="00A06425" w:rsidRDefault="000864B9" w:rsidP="000864B9">
            <w:pPr>
              <w:rPr>
                <w:rFonts w:asciiTheme="minorHAnsi" w:hAnsiTheme="minorHAnsi" w:cstheme="minorHAnsi"/>
                <w:sz w:val="22"/>
                <w:szCs w:val="22"/>
              </w:rPr>
            </w:pPr>
          </w:p>
        </w:tc>
        <w:tc>
          <w:tcPr>
            <w:tcW w:w="3260" w:type="dxa"/>
          </w:tcPr>
          <w:p w14:paraId="71CAF423" w14:textId="77777777" w:rsidR="00534931" w:rsidRDefault="00534931"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5DFE4016" w14:textId="77777777" w:rsidR="00534931" w:rsidRDefault="00534931" w:rsidP="000864B9">
            <w:pPr>
              <w:rPr>
                <w:rFonts w:asciiTheme="minorHAnsi" w:hAnsiTheme="minorHAnsi" w:cstheme="minorHAnsi"/>
                <w:sz w:val="22"/>
                <w:szCs w:val="22"/>
              </w:rPr>
            </w:pPr>
          </w:p>
          <w:p w14:paraId="55631D49" w14:textId="2505E7A3" w:rsidR="000864B9" w:rsidRPr="00A06425" w:rsidRDefault="00534931" w:rsidP="000864B9">
            <w:pPr>
              <w:rPr>
                <w:rFonts w:asciiTheme="minorHAnsi" w:hAnsiTheme="minorHAnsi" w:cstheme="minorHAnsi"/>
                <w:sz w:val="22"/>
                <w:szCs w:val="22"/>
              </w:rPr>
            </w:pPr>
            <w:r>
              <w:rPr>
                <w:rFonts w:asciiTheme="minorHAnsi" w:hAnsiTheme="minorHAnsi" w:cstheme="minorHAnsi"/>
                <w:sz w:val="22"/>
                <w:szCs w:val="22"/>
              </w:rPr>
              <w:t>Projektowane przepisy skreślono z projektu.</w:t>
            </w:r>
          </w:p>
        </w:tc>
      </w:tr>
      <w:tr w:rsidR="000864B9" w:rsidRPr="00A06425" w14:paraId="55631D51" w14:textId="77777777" w:rsidTr="00965831">
        <w:tc>
          <w:tcPr>
            <w:tcW w:w="562" w:type="dxa"/>
            <w:shd w:val="clear" w:color="auto" w:fill="auto"/>
          </w:tcPr>
          <w:p w14:paraId="55631D4B" w14:textId="1204D223"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4</w:t>
            </w:r>
          </w:p>
        </w:tc>
        <w:tc>
          <w:tcPr>
            <w:tcW w:w="1134" w:type="dxa"/>
            <w:shd w:val="clear" w:color="auto" w:fill="auto"/>
          </w:tcPr>
          <w:p w14:paraId="55631D4C" w14:textId="425AE014"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5631D4D" w14:textId="69384F0F" w:rsidR="000864B9" w:rsidRPr="00A06425" w:rsidRDefault="00520FEB" w:rsidP="000864B9">
            <w:pPr>
              <w:rPr>
                <w:rFonts w:asciiTheme="minorHAnsi" w:hAnsiTheme="minorHAnsi" w:cstheme="minorHAnsi"/>
                <w:sz w:val="22"/>
                <w:szCs w:val="22"/>
              </w:rPr>
            </w:pPr>
            <w:r w:rsidRPr="00083029">
              <w:rPr>
                <w:rFonts w:asciiTheme="minorHAnsi" w:hAnsiTheme="minorHAnsi" w:cstheme="minorHAnsi"/>
                <w:sz w:val="22"/>
                <w:szCs w:val="22"/>
              </w:rPr>
              <w:t>§ 2 pkt 1</w:t>
            </w:r>
          </w:p>
        </w:tc>
        <w:tc>
          <w:tcPr>
            <w:tcW w:w="5103" w:type="dxa"/>
            <w:shd w:val="clear" w:color="auto" w:fill="auto"/>
          </w:tcPr>
          <w:p w14:paraId="55631D4E" w14:textId="1D778101" w:rsidR="000864B9" w:rsidRPr="00A06425"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 xml:space="preserve">z uwagi na fakt, iż przepisy ustawy o zasadach prowadzenia polityki rozwoju stanowią o „zawieraniu” umów o objęcie przedsięwzięcia wsparciem bezzwrotnym z planu rozwojowego (tak m.in. art. 14zlh ust. 1) zaś Wnioskodawca w § 2 pkt 1 projektu </w:t>
            </w:r>
            <w:r w:rsidRPr="00083029">
              <w:rPr>
                <w:rFonts w:asciiTheme="minorHAnsi" w:hAnsiTheme="minorHAnsi" w:cstheme="minorHAnsi"/>
                <w:sz w:val="22"/>
                <w:szCs w:val="22"/>
              </w:rPr>
              <w:lastRenderedPageBreak/>
              <w:t>rozporządzenia przewiduje „podpisanie” takiej umowy, uzasadnić należy zróżnicowanie ww. pojęć, w tym odnieść się do kwestii, czy podpisanie umowy zawsze jest tożsame z jej zawarciem;</w:t>
            </w:r>
          </w:p>
        </w:tc>
        <w:tc>
          <w:tcPr>
            <w:tcW w:w="3260" w:type="dxa"/>
            <w:shd w:val="clear" w:color="auto" w:fill="auto"/>
          </w:tcPr>
          <w:p w14:paraId="55631D4F" w14:textId="77777777" w:rsidR="000864B9" w:rsidRPr="00A06425" w:rsidRDefault="000864B9" w:rsidP="000864B9">
            <w:pPr>
              <w:rPr>
                <w:rFonts w:asciiTheme="minorHAnsi" w:hAnsiTheme="minorHAnsi" w:cstheme="minorHAnsi"/>
                <w:sz w:val="22"/>
                <w:szCs w:val="22"/>
              </w:rPr>
            </w:pPr>
          </w:p>
        </w:tc>
        <w:tc>
          <w:tcPr>
            <w:tcW w:w="3260" w:type="dxa"/>
          </w:tcPr>
          <w:p w14:paraId="6E94197A" w14:textId="77777777" w:rsidR="000864B9" w:rsidRDefault="00534931" w:rsidP="00534931">
            <w:pPr>
              <w:rPr>
                <w:rFonts w:asciiTheme="minorHAnsi" w:hAnsiTheme="minorHAnsi" w:cstheme="minorHAnsi"/>
                <w:sz w:val="22"/>
                <w:szCs w:val="22"/>
              </w:rPr>
            </w:pPr>
            <w:r>
              <w:rPr>
                <w:rFonts w:asciiTheme="minorHAnsi" w:hAnsiTheme="minorHAnsi" w:cstheme="minorHAnsi"/>
                <w:sz w:val="22"/>
                <w:szCs w:val="22"/>
              </w:rPr>
              <w:t>Uwaga uwzględniona</w:t>
            </w:r>
          </w:p>
          <w:p w14:paraId="42A23F2D" w14:textId="77777777" w:rsidR="00534931" w:rsidRDefault="00534931" w:rsidP="00534931">
            <w:pPr>
              <w:rPr>
                <w:rFonts w:asciiTheme="minorHAnsi" w:hAnsiTheme="minorHAnsi" w:cstheme="minorHAnsi"/>
                <w:sz w:val="22"/>
                <w:szCs w:val="22"/>
              </w:rPr>
            </w:pPr>
          </w:p>
          <w:p w14:paraId="55631D50" w14:textId="7CABDCC5"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55631D58" w14:textId="77777777" w:rsidTr="00965831">
        <w:tc>
          <w:tcPr>
            <w:tcW w:w="562" w:type="dxa"/>
            <w:shd w:val="clear" w:color="auto" w:fill="auto"/>
          </w:tcPr>
          <w:p w14:paraId="55631D52" w14:textId="77777777" w:rsidR="000864B9" w:rsidRPr="004D042C"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4D042C">
              <w:rPr>
                <w:rFonts w:asciiTheme="minorHAnsi" w:hAnsiTheme="minorHAnsi" w:cstheme="minorHAnsi"/>
                <w:b/>
                <w:sz w:val="22"/>
                <w:szCs w:val="22"/>
              </w:rPr>
              <w:lastRenderedPageBreak/>
              <w:t>5</w:t>
            </w:r>
          </w:p>
        </w:tc>
        <w:tc>
          <w:tcPr>
            <w:tcW w:w="1134" w:type="dxa"/>
            <w:shd w:val="clear" w:color="auto" w:fill="auto"/>
          </w:tcPr>
          <w:p w14:paraId="55631D53" w14:textId="33533968" w:rsidR="000864B9" w:rsidRPr="004D042C" w:rsidRDefault="000864B9" w:rsidP="000864B9">
            <w:pPr>
              <w:spacing w:before="60" w:after="60"/>
              <w:rPr>
                <w:rFonts w:asciiTheme="minorHAnsi" w:hAnsiTheme="minorHAnsi" w:cstheme="minorHAnsi"/>
                <w:b/>
                <w:sz w:val="22"/>
                <w:szCs w:val="22"/>
              </w:rPr>
            </w:pPr>
            <w:r w:rsidRPr="004D042C">
              <w:rPr>
                <w:rFonts w:asciiTheme="minorHAnsi" w:hAnsiTheme="minorHAnsi" w:cstheme="minorHAnsi"/>
                <w:b/>
                <w:sz w:val="22"/>
                <w:szCs w:val="22"/>
              </w:rPr>
              <w:t>RCL</w:t>
            </w:r>
          </w:p>
        </w:tc>
        <w:tc>
          <w:tcPr>
            <w:tcW w:w="1843" w:type="dxa"/>
            <w:shd w:val="clear" w:color="auto" w:fill="auto"/>
          </w:tcPr>
          <w:p w14:paraId="55631D54" w14:textId="615FA72A" w:rsidR="000864B9" w:rsidRPr="004D042C" w:rsidRDefault="00520FEB" w:rsidP="000864B9">
            <w:pPr>
              <w:rPr>
                <w:rFonts w:asciiTheme="minorHAnsi" w:hAnsiTheme="minorHAnsi" w:cstheme="minorHAnsi"/>
                <w:sz w:val="22"/>
                <w:szCs w:val="22"/>
              </w:rPr>
            </w:pPr>
            <w:r w:rsidRPr="004D042C">
              <w:rPr>
                <w:rFonts w:asciiTheme="minorHAnsi" w:hAnsiTheme="minorHAnsi" w:cstheme="minorHAnsi"/>
                <w:sz w:val="22"/>
                <w:szCs w:val="22"/>
              </w:rPr>
              <w:t>§ 2 pkt 2</w:t>
            </w:r>
          </w:p>
        </w:tc>
        <w:tc>
          <w:tcPr>
            <w:tcW w:w="5103" w:type="dxa"/>
            <w:shd w:val="clear" w:color="auto" w:fill="auto"/>
          </w:tcPr>
          <w:p w14:paraId="55631D55" w14:textId="088D9508" w:rsidR="000864B9" w:rsidRPr="004D042C" w:rsidRDefault="000864B9" w:rsidP="00520FEB">
            <w:pPr>
              <w:rPr>
                <w:rFonts w:asciiTheme="minorHAnsi" w:hAnsiTheme="minorHAnsi" w:cstheme="minorHAnsi"/>
                <w:sz w:val="22"/>
                <w:szCs w:val="22"/>
              </w:rPr>
            </w:pPr>
            <w:r w:rsidRPr="004D042C">
              <w:rPr>
                <w:rFonts w:asciiTheme="minorHAnsi" w:hAnsiTheme="minorHAnsi" w:cstheme="minorHAnsi"/>
                <w:sz w:val="22"/>
                <w:szCs w:val="22"/>
              </w:rPr>
              <w:t>ustawa o zasadach prowadzenia polityki rozwoju w art. 14lzh ust. 2 stanowi o jednym z elementów umowy o objęcie przedsięwzięcia wsparciem bezzwrotnym z planu rozwojowego, jakim jest opis przedsięwzięcia, w tym „termin j</w:t>
            </w:r>
            <w:r w:rsidR="00520FEB" w:rsidRPr="004D042C">
              <w:rPr>
                <w:rFonts w:asciiTheme="minorHAnsi" w:hAnsiTheme="minorHAnsi" w:cstheme="minorHAnsi"/>
                <w:sz w:val="22"/>
                <w:szCs w:val="22"/>
              </w:rPr>
              <w:t xml:space="preserve">ego realizacji”. Przepis § 2 pkt </w:t>
            </w:r>
            <w:r w:rsidRPr="004D042C">
              <w:rPr>
                <w:rFonts w:asciiTheme="minorHAnsi" w:hAnsiTheme="minorHAnsi" w:cstheme="minorHAnsi"/>
                <w:sz w:val="22"/>
                <w:szCs w:val="22"/>
              </w:rPr>
              <w:t>2 projektu rozporządzenia będzie więc poprawnie sformułowany, o ile w rozumieniu ww. terminu mieścić się będzie w praktyce dzień rozpoczęcia i zakończenia realizacji przedsięwzięcia, co wymaga stosownego wyjaśnienia;</w:t>
            </w:r>
          </w:p>
        </w:tc>
        <w:tc>
          <w:tcPr>
            <w:tcW w:w="3260" w:type="dxa"/>
            <w:shd w:val="clear" w:color="auto" w:fill="auto"/>
          </w:tcPr>
          <w:p w14:paraId="55631D56" w14:textId="77777777" w:rsidR="000864B9" w:rsidRPr="004D042C" w:rsidRDefault="000864B9" w:rsidP="000864B9">
            <w:pPr>
              <w:rPr>
                <w:rFonts w:asciiTheme="minorHAnsi" w:hAnsiTheme="minorHAnsi" w:cstheme="minorHAnsi"/>
                <w:sz w:val="22"/>
                <w:szCs w:val="22"/>
              </w:rPr>
            </w:pPr>
          </w:p>
        </w:tc>
        <w:tc>
          <w:tcPr>
            <w:tcW w:w="3260" w:type="dxa"/>
          </w:tcPr>
          <w:p w14:paraId="7EADB0E0" w14:textId="77777777" w:rsidR="00534931" w:rsidRDefault="00520FEB" w:rsidP="00534931">
            <w:pPr>
              <w:rPr>
                <w:rFonts w:asciiTheme="minorHAnsi" w:hAnsiTheme="minorHAnsi" w:cstheme="minorHAnsi"/>
                <w:sz w:val="22"/>
                <w:szCs w:val="22"/>
              </w:rPr>
            </w:pPr>
            <w:r w:rsidRPr="004D042C">
              <w:rPr>
                <w:rFonts w:asciiTheme="minorHAnsi" w:hAnsiTheme="minorHAnsi" w:cstheme="minorHAnsi"/>
                <w:sz w:val="22"/>
                <w:szCs w:val="22"/>
              </w:rPr>
              <w:t xml:space="preserve">Uwaga </w:t>
            </w:r>
            <w:r w:rsidR="00534931">
              <w:rPr>
                <w:rFonts w:asciiTheme="minorHAnsi" w:hAnsiTheme="minorHAnsi" w:cstheme="minorHAnsi"/>
                <w:sz w:val="22"/>
                <w:szCs w:val="22"/>
              </w:rPr>
              <w:t>nieaktualna</w:t>
            </w:r>
          </w:p>
          <w:p w14:paraId="64EBA7A2" w14:textId="77777777" w:rsidR="00534931" w:rsidRDefault="00534931" w:rsidP="00534931">
            <w:pPr>
              <w:rPr>
                <w:rFonts w:asciiTheme="minorHAnsi" w:hAnsiTheme="minorHAnsi" w:cstheme="minorHAnsi"/>
                <w:sz w:val="22"/>
                <w:szCs w:val="22"/>
              </w:rPr>
            </w:pPr>
          </w:p>
          <w:p w14:paraId="55631D57" w14:textId="73A44E1A" w:rsidR="000864B9" w:rsidRPr="004D042C" w:rsidRDefault="00534931" w:rsidP="00534931">
            <w:pPr>
              <w:rPr>
                <w:rFonts w:asciiTheme="minorHAnsi" w:hAnsiTheme="minorHAnsi" w:cstheme="minorHAnsi"/>
                <w:sz w:val="22"/>
                <w:szCs w:val="22"/>
              </w:rPr>
            </w:pPr>
            <w:r>
              <w:rPr>
                <w:rFonts w:asciiTheme="minorHAnsi" w:hAnsiTheme="minorHAnsi" w:cstheme="minorHAnsi"/>
                <w:sz w:val="22"/>
                <w:szCs w:val="22"/>
              </w:rPr>
              <w:t>Projektowany § 2 pkt 2 został skreślony z projektu. Jednocześnie należy wyjaśnić, że</w:t>
            </w:r>
            <w:r w:rsidR="004D042C" w:rsidRPr="004D042C">
              <w:t xml:space="preserve"> </w:t>
            </w:r>
            <w:r w:rsidR="004D042C" w:rsidRPr="004D042C">
              <w:rPr>
                <w:rFonts w:asciiTheme="minorHAnsi" w:hAnsiTheme="minorHAnsi" w:cstheme="minorHAnsi"/>
                <w:sz w:val="22"/>
                <w:szCs w:val="22"/>
              </w:rPr>
              <w:t xml:space="preserve">dzień udzielenia pomocy i dzień zakończenia realizacji przedsięwzięcia </w:t>
            </w:r>
            <w:r>
              <w:rPr>
                <w:rFonts w:asciiTheme="minorHAnsi" w:hAnsiTheme="minorHAnsi" w:cstheme="minorHAnsi"/>
                <w:sz w:val="22"/>
                <w:szCs w:val="22"/>
              </w:rPr>
              <w:t xml:space="preserve">zostały zdefiniowane w projekcie </w:t>
            </w:r>
            <w:r w:rsidR="004D042C" w:rsidRPr="004D042C">
              <w:rPr>
                <w:rFonts w:asciiTheme="minorHAnsi" w:hAnsiTheme="minorHAnsi" w:cstheme="minorHAnsi"/>
                <w:sz w:val="22"/>
                <w:szCs w:val="22"/>
              </w:rPr>
              <w:t xml:space="preserve">w </w:t>
            </w:r>
            <w:r>
              <w:rPr>
                <w:rFonts w:asciiTheme="minorHAnsi" w:hAnsiTheme="minorHAnsi" w:cstheme="minorHAnsi"/>
                <w:sz w:val="22"/>
                <w:szCs w:val="22"/>
              </w:rPr>
              <w:t>kontekście odpowiedniego stosowania</w:t>
            </w:r>
            <w:r w:rsidR="004D042C" w:rsidRPr="004D042C">
              <w:rPr>
                <w:rFonts w:asciiTheme="minorHAnsi" w:hAnsiTheme="minorHAnsi" w:cstheme="minorHAnsi"/>
                <w:sz w:val="22"/>
                <w:szCs w:val="22"/>
              </w:rPr>
              <w:t xml:space="preserve"> reguł pomocy publicznej. </w:t>
            </w:r>
            <w:r>
              <w:rPr>
                <w:rFonts w:asciiTheme="minorHAnsi" w:hAnsiTheme="minorHAnsi" w:cstheme="minorHAnsi"/>
                <w:sz w:val="22"/>
                <w:szCs w:val="22"/>
              </w:rPr>
              <w:t>Natomiast w</w:t>
            </w:r>
            <w:r w:rsidR="004D042C" w:rsidRPr="004D042C">
              <w:rPr>
                <w:rFonts w:asciiTheme="minorHAnsi" w:hAnsiTheme="minorHAnsi" w:cstheme="minorHAnsi"/>
                <w:sz w:val="22"/>
                <w:szCs w:val="22"/>
              </w:rPr>
              <w:t xml:space="preserve"> umowie o objęcie przedsięwzięcia wsparciem będą stosowane wymagania </w:t>
            </w:r>
            <w:r>
              <w:rPr>
                <w:rFonts w:asciiTheme="minorHAnsi" w:hAnsiTheme="minorHAnsi" w:cstheme="minorHAnsi"/>
                <w:sz w:val="22"/>
                <w:szCs w:val="22"/>
              </w:rPr>
              <w:t xml:space="preserve">wynikające także bezpośrednio </w:t>
            </w:r>
            <w:r w:rsidR="004D042C" w:rsidRPr="004D042C">
              <w:rPr>
                <w:rFonts w:asciiTheme="minorHAnsi" w:hAnsiTheme="minorHAnsi" w:cstheme="minorHAnsi"/>
                <w:sz w:val="22"/>
                <w:szCs w:val="22"/>
              </w:rPr>
              <w:t>z ustawy.</w:t>
            </w:r>
          </w:p>
        </w:tc>
      </w:tr>
      <w:tr w:rsidR="000864B9" w:rsidRPr="00A06425" w14:paraId="31CBBBDB" w14:textId="77777777" w:rsidTr="00965831">
        <w:tc>
          <w:tcPr>
            <w:tcW w:w="562" w:type="dxa"/>
            <w:shd w:val="clear" w:color="auto" w:fill="auto"/>
          </w:tcPr>
          <w:p w14:paraId="13B378E6" w14:textId="68677B22"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6</w:t>
            </w:r>
          </w:p>
        </w:tc>
        <w:tc>
          <w:tcPr>
            <w:tcW w:w="1134" w:type="dxa"/>
            <w:shd w:val="clear" w:color="auto" w:fill="auto"/>
          </w:tcPr>
          <w:p w14:paraId="6731BEFB" w14:textId="1ACE11F7"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A78A28F" w14:textId="47E66324" w:rsidR="000864B9" w:rsidRPr="00A06425" w:rsidRDefault="00520FEB" w:rsidP="000864B9">
            <w:pPr>
              <w:rPr>
                <w:rFonts w:asciiTheme="minorHAnsi" w:hAnsiTheme="minorHAnsi" w:cstheme="minorHAnsi"/>
                <w:sz w:val="22"/>
                <w:szCs w:val="22"/>
              </w:rPr>
            </w:pPr>
            <w:r w:rsidRPr="00520FEB">
              <w:rPr>
                <w:rFonts w:asciiTheme="minorHAnsi" w:hAnsiTheme="minorHAnsi" w:cstheme="minorHAnsi"/>
                <w:sz w:val="22"/>
                <w:szCs w:val="22"/>
              </w:rPr>
              <w:t>§ 2 pkt 5</w:t>
            </w:r>
          </w:p>
        </w:tc>
        <w:tc>
          <w:tcPr>
            <w:tcW w:w="5103" w:type="dxa"/>
            <w:shd w:val="clear" w:color="auto" w:fill="auto"/>
          </w:tcPr>
          <w:p w14:paraId="39C5EB35" w14:textId="1FB494E6"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zauważenia wymaga, iż sieć telekomunikacyjna, przez którą rozumie się m.in.</w:t>
            </w:r>
            <w:r>
              <w:rPr>
                <w:rFonts w:asciiTheme="minorHAnsi" w:hAnsiTheme="minorHAnsi" w:cstheme="minorHAnsi"/>
                <w:sz w:val="22"/>
                <w:szCs w:val="22"/>
              </w:rPr>
              <w:t xml:space="preserve"> </w:t>
            </w:r>
            <w:r w:rsidRPr="00083029">
              <w:rPr>
                <w:rFonts w:asciiTheme="minorHAnsi" w:hAnsiTheme="minorHAnsi" w:cstheme="minorHAnsi"/>
                <w:sz w:val="22"/>
                <w:szCs w:val="22"/>
              </w:rPr>
              <w:t>infrastrukturę szerokopasmową zdefiniowaną w § 2 pkt 5 projektu rozporządzenia,</w:t>
            </w:r>
            <w:r>
              <w:rPr>
                <w:rFonts w:asciiTheme="minorHAnsi" w:hAnsiTheme="minorHAnsi" w:cstheme="minorHAnsi"/>
                <w:sz w:val="22"/>
                <w:szCs w:val="22"/>
              </w:rPr>
              <w:t xml:space="preserve"> </w:t>
            </w:r>
            <w:r w:rsidRPr="00083029">
              <w:rPr>
                <w:rFonts w:asciiTheme="minorHAnsi" w:hAnsiTheme="minorHAnsi" w:cstheme="minorHAnsi"/>
                <w:sz w:val="22"/>
                <w:szCs w:val="22"/>
              </w:rPr>
              <w:t>uregulowana jest stricte w art. 2 pkt 35 ustawy z dnia 16 lipca 2004 r. – Prawo</w:t>
            </w:r>
          </w:p>
          <w:p w14:paraId="01014010" w14:textId="2D972936" w:rsidR="000864B9" w:rsidRPr="00A06425" w:rsidRDefault="000864B9" w:rsidP="00F24A72">
            <w:pPr>
              <w:rPr>
                <w:rFonts w:asciiTheme="minorHAnsi" w:hAnsiTheme="minorHAnsi" w:cstheme="minorHAnsi"/>
                <w:sz w:val="22"/>
                <w:szCs w:val="22"/>
              </w:rPr>
            </w:pPr>
            <w:r w:rsidRPr="00083029">
              <w:rPr>
                <w:rFonts w:asciiTheme="minorHAnsi" w:hAnsiTheme="minorHAnsi" w:cstheme="minorHAnsi"/>
                <w:sz w:val="22"/>
                <w:szCs w:val="22"/>
              </w:rPr>
              <w:t>telekomunikacyjne (Dz. U. z 2022 r. poz. 1648). Artykuł 2 pkt 8 Prawa telekomunikacyjnego,</w:t>
            </w:r>
            <w:r>
              <w:rPr>
                <w:rFonts w:asciiTheme="minorHAnsi" w:hAnsiTheme="minorHAnsi" w:cstheme="minorHAnsi"/>
                <w:sz w:val="22"/>
                <w:szCs w:val="22"/>
              </w:rPr>
              <w:t xml:space="preserve"> </w:t>
            </w:r>
            <w:r w:rsidRPr="00083029">
              <w:rPr>
                <w:rFonts w:asciiTheme="minorHAnsi" w:hAnsiTheme="minorHAnsi" w:cstheme="minorHAnsi"/>
                <w:sz w:val="22"/>
                <w:szCs w:val="22"/>
              </w:rPr>
              <w:t>na który powołuje się Wnioskodawca, stanowi w rzeczywistości określenie infrastruktury</w:t>
            </w:r>
            <w:r w:rsidR="00F24A72">
              <w:rPr>
                <w:rFonts w:asciiTheme="minorHAnsi" w:hAnsiTheme="minorHAnsi" w:cstheme="minorHAnsi"/>
                <w:sz w:val="22"/>
                <w:szCs w:val="22"/>
              </w:rPr>
              <w:t xml:space="preserve"> </w:t>
            </w:r>
            <w:r w:rsidRPr="00083029">
              <w:rPr>
                <w:rFonts w:asciiTheme="minorHAnsi" w:hAnsiTheme="minorHAnsi" w:cstheme="minorHAnsi"/>
                <w:sz w:val="22"/>
                <w:szCs w:val="22"/>
              </w:rPr>
              <w:t>telekomunikacyjnej, czyli urządzeń telekomunikacyjnych wykorzystywanych do zapewnienia</w:t>
            </w:r>
            <w:r w:rsidR="00F24A72">
              <w:rPr>
                <w:rFonts w:asciiTheme="minorHAnsi" w:hAnsiTheme="minorHAnsi" w:cstheme="minorHAnsi"/>
                <w:sz w:val="22"/>
                <w:szCs w:val="22"/>
              </w:rPr>
              <w:t xml:space="preserve"> </w:t>
            </w:r>
            <w:r w:rsidRPr="00083029">
              <w:rPr>
                <w:rFonts w:asciiTheme="minorHAnsi" w:hAnsiTheme="minorHAnsi" w:cstheme="minorHAnsi"/>
                <w:sz w:val="22"/>
                <w:szCs w:val="22"/>
              </w:rPr>
              <w:t>telekomunikacji oraz innych niewskazanych enumeratywnie elementów infrastruktury – brak</w:t>
            </w:r>
            <w:r w:rsidR="00F24A72">
              <w:rPr>
                <w:rFonts w:asciiTheme="minorHAnsi" w:hAnsiTheme="minorHAnsi" w:cstheme="minorHAnsi"/>
                <w:sz w:val="22"/>
                <w:szCs w:val="22"/>
              </w:rPr>
              <w:t xml:space="preserve"> </w:t>
            </w:r>
            <w:r w:rsidRPr="00083029">
              <w:rPr>
                <w:rFonts w:asciiTheme="minorHAnsi" w:hAnsiTheme="minorHAnsi" w:cstheme="minorHAnsi"/>
                <w:sz w:val="22"/>
                <w:szCs w:val="22"/>
              </w:rPr>
              <w:t>w nim stricte odniesienia się do sieci telekomunikacyjnych. Przepis wymaga ponownej</w:t>
            </w:r>
            <w:r>
              <w:rPr>
                <w:rFonts w:asciiTheme="minorHAnsi" w:hAnsiTheme="minorHAnsi" w:cstheme="minorHAnsi"/>
                <w:sz w:val="22"/>
                <w:szCs w:val="22"/>
              </w:rPr>
              <w:t xml:space="preserve"> </w:t>
            </w:r>
            <w:r w:rsidRPr="00083029">
              <w:rPr>
                <w:rFonts w:asciiTheme="minorHAnsi" w:hAnsiTheme="minorHAnsi" w:cstheme="minorHAnsi"/>
                <w:sz w:val="22"/>
                <w:szCs w:val="22"/>
              </w:rPr>
              <w:t>analizy w tym zakresie;</w:t>
            </w:r>
          </w:p>
        </w:tc>
        <w:tc>
          <w:tcPr>
            <w:tcW w:w="3260" w:type="dxa"/>
            <w:shd w:val="clear" w:color="auto" w:fill="auto"/>
          </w:tcPr>
          <w:p w14:paraId="28035FE2" w14:textId="77777777" w:rsidR="000864B9" w:rsidRPr="00A06425" w:rsidRDefault="000864B9" w:rsidP="000864B9">
            <w:pPr>
              <w:rPr>
                <w:rFonts w:asciiTheme="minorHAnsi" w:hAnsiTheme="minorHAnsi" w:cstheme="minorHAnsi"/>
                <w:sz w:val="22"/>
                <w:szCs w:val="22"/>
              </w:rPr>
            </w:pPr>
          </w:p>
        </w:tc>
        <w:tc>
          <w:tcPr>
            <w:tcW w:w="3260" w:type="dxa"/>
          </w:tcPr>
          <w:p w14:paraId="3C15158A" w14:textId="77777777" w:rsidR="00534931" w:rsidRDefault="00534931"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58DD5111" w14:textId="77777777" w:rsidR="00534931" w:rsidRDefault="00534931" w:rsidP="000864B9">
            <w:pPr>
              <w:rPr>
                <w:rFonts w:asciiTheme="minorHAnsi" w:hAnsiTheme="minorHAnsi" w:cstheme="minorHAnsi"/>
                <w:sz w:val="22"/>
                <w:szCs w:val="22"/>
              </w:rPr>
            </w:pPr>
          </w:p>
          <w:p w14:paraId="2482322D" w14:textId="5277D0D5" w:rsidR="000864B9" w:rsidRPr="00A06425" w:rsidRDefault="00534931" w:rsidP="000864B9">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64A5CD24" w14:textId="77777777" w:rsidTr="00965831">
        <w:tc>
          <w:tcPr>
            <w:tcW w:w="562" w:type="dxa"/>
            <w:shd w:val="clear" w:color="auto" w:fill="auto"/>
          </w:tcPr>
          <w:p w14:paraId="78684E0B" w14:textId="0FE82B99"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7</w:t>
            </w:r>
          </w:p>
        </w:tc>
        <w:tc>
          <w:tcPr>
            <w:tcW w:w="1134" w:type="dxa"/>
            <w:shd w:val="clear" w:color="auto" w:fill="auto"/>
          </w:tcPr>
          <w:p w14:paraId="5486F95A" w14:textId="6E93F9A2"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918C730" w14:textId="7E1D37FA" w:rsidR="000864B9" w:rsidRPr="00A06425" w:rsidRDefault="00970FC4" w:rsidP="000864B9">
            <w:pPr>
              <w:rPr>
                <w:rFonts w:asciiTheme="minorHAnsi" w:hAnsiTheme="minorHAnsi" w:cstheme="minorHAnsi"/>
                <w:sz w:val="22"/>
                <w:szCs w:val="22"/>
              </w:rPr>
            </w:pPr>
            <w:r w:rsidRPr="00083029">
              <w:rPr>
                <w:rFonts w:asciiTheme="minorHAnsi" w:hAnsiTheme="minorHAnsi" w:cstheme="minorHAnsi"/>
                <w:sz w:val="22"/>
                <w:szCs w:val="22"/>
              </w:rPr>
              <w:t>§ 2</w:t>
            </w:r>
          </w:p>
        </w:tc>
        <w:tc>
          <w:tcPr>
            <w:tcW w:w="5103" w:type="dxa"/>
            <w:shd w:val="clear" w:color="auto" w:fill="auto"/>
          </w:tcPr>
          <w:p w14:paraId="269E5FF2" w14:textId="6F03628E" w:rsidR="000864B9" w:rsidRPr="00A06425"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projektowane rozporządzenie w słowniku pojęć, zawartym w § 2, zawiera</w:t>
            </w:r>
            <w:r>
              <w:rPr>
                <w:rFonts w:asciiTheme="minorHAnsi" w:hAnsiTheme="minorHAnsi" w:cstheme="minorHAnsi"/>
                <w:sz w:val="22"/>
                <w:szCs w:val="22"/>
              </w:rPr>
              <w:t xml:space="preserve"> </w:t>
            </w:r>
            <w:r w:rsidRPr="00083029">
              <w:rPr>
                <w:rFonts w:asciiTheme="minorHAnsi" w:hAnsiTheme="minorHAnsi" w:cstheme="minorHAnsi"/>
                <w:sz w:val="22"/>
                <w:szCs w:val="22"/>
              </w:rPr>
              <w:t xml:space="preserve">odniesienie się do pojęć już wyjaśnionych w ustawie o zasadach prowadzenia </w:t>
            </w:r>
            <w:r w:rsidRPr="00083029">
              <w:rPr>
                <w:rFonts w:asciiTheme="minorHAnsi" w:hAnsiTheme="minorHAnsi" w:cstheme="minorHAnsi"/>
                <w:sz w:val="22"/>
                <w:szCs w:val="22"/>
              </w:rPr>
              <w:lastRenderedPageBreak/>
              <w:t>polityki</w:t>
            </w:r>
            <w:r>
              <w:rPr>
                <w:rFonts w:asciiTheme="minorHAnsi" w:hAnsiTheme="minorHAnsi" w:cstheme="minorHAnsi"/>
                <w:sz w:val="22"/>
                <w:szCs w:val="22"/>
              </w:rPr>
              <w:t xml:space="preserve"> </w:t>
            </w:r>
            <w:r w:rsidRPr="00083029">
              <w:rPr>
                <w:rFonts w:asciiTheme="minorHAnsi" w:hAnsiTheme="minorHAnsi" w:cstheme="minorHAnsi"/>
                <w:sz w:val="22"/>
                <w:szCs w:val="22"/>
              </w:rPr>
              <w:t>rozwoju (tak w § 2 pkt 7, 9 i 14), czyli ustawie stanowiącej podstawę prawną do wydania</w:t>
            </w:r>
            <w:r>
              <w:rPr>
                <w:rFonts w:asciiTheme="minorHAnsi" w:hAnsiTheme="minorHAnsi" w:cstheme="minorHAnsi"/>
                <w:sz w:val="22"/>
                <w:szCs w:val="22"/>
              </w:rPr>
              <w:t xml:space="preserve"> </w:t>
            </w:r>
            <w:r w:rsidRPr="00083029">
              <w:rPr>
                <w:rFonts w:asciiTheme="minorHAnsi" w:hAnsiTheme="minorHAnsi" w:cstheme="minorHAnsi"/>
                <w:sz w:val="22"/>
                <w:szCs w:val="22"/>
              </w:rPr>
              <w:t>niniejszego aktu, co wydaje się zbędne. Proponuje się tym samym rezygnację z ich</w:t>
            </w:r>
            <w:r>
              <w:rPr>
                <w:rFonts w:asciiTheme="minorHAnsi" w:hAnsiTheme="minorHAnsi" w:cstheme="minorHAnsi"/>
                <w:sz w:val="22"/>
                <w:szCs w:val="22"/>
              </w:rPr>
              <w:t xml:space="preserve"> </w:t>
            </w:r>
            <w:r w:rsidRPr="00083029">
              <w:rPr>
                <w:rFonts w:asciiTheme="minorHAnsi" w:hAnsiTheme="minorHAnsi" w:cstheme="minorHAnsi"/>
                <w:sz w:val="22"/>
                <w:szCs w:val="22"/>
              </w:rPr>
              <w:t>zamieszczania w opiniowanym akcie albo uzasadnienie konieczności ich pozostawienia</w:t>
            </w:r>
            <w:r>
              <w:rPr>
                <w:rFonts w:asciiTheme="minorHAnsi" w:hAnsiTheme="minorHAnsi" w:cstheme="minorHAnsi"/>
                <w:sz w:val="22"/>
                <w:szCs w:val="22"/>
              </w:rPr>
              <w:t xml:space="preserve"> </w:t>
            </w:r>
            <w:r w:rsidRPr="00083029">
              <w:rPr>
                <w:rFonts w:asciiTheme="minorHAnsi" w:hAnsiTheme="minorHAnsi" w:cstheme="minorHAnsi"/>
                <w:sz w:val="22"/>
                <w:szCs w:val="22"/>
              </w:rPr>
              <w:t>w projekcie</w:t>
            </w:r>
          </w:p>
        </w:tc>
        <w:tc>
          <w:tcPr>
            <w:tcW w:w="3260" w:type="dxa"/>
            <w:shd w:val="clear" w:color="auto" w:fill="auto"/>
          </w:tcPr>
          <w:p w14:paraId="24D382C9" w14:textId="77777777" w:rsidR="000864B9" w:rsidRPr="00A06425" w:rsidRDefault="000864B9" w:rsidP="000864B9">
            <w:pPr>
              <w:rPr>
                <w:rFonts w:asciiTheme="minorHAnsi" w:hAnsiTheme="minorHAnsi" w:cstheme="minorHAnsi"/>
                <w:sz w:val="22"/>
                <w:szCs w:val="22"/>
              </w:rPr>
            </w:pPr>
          </w:p>
        </w:tc>
        <w:tc>
          <w:tcPr>
            <w:tcW w:w="3260" w:type="dxa"/>
          </w:tcPr>
          <w:p w14:paraId="45E72446" w14:textId="77777777" w:rsidR="000864B9" w:rsidRDefault="00534931" w:rsidP="00534931">
            <w:pPr>
              <w:rPr>
                <w:rFonts w:asciiTheme="minorHAnsi" w:hAnsiTheme="minorHAnsi" w:cstheme="minorHAnsi"/>
                <w:sz w:val="22"/>
                <w:szCs w:val="22"/>
              </w:rPr>
            </w:pPr>
            <w:r>
              <w:rPr>
                <w:rFonts w:asciiTheme="minorHAnsi" w:hAnsiTheme="minorHAnsi" w:cstheme="minorHAnsi"/>
                <w:sz w:val="22"/>
                <w:szCs w:val="22"/>
              </w:rPr>
              <w:t>Uwaga uwzględniona</w:t>
            </w:r>
          </w:p>
          <w:p w14:paraId="4DE9E378" w14:textId="77777777" w:rsidR="00534931" w:rsidRDefault="00534931" w:rsidP="00534931">
            <w:pPr>
              <w:rPr>
                <w:rFonts w:asciiTheme="minorHAnsi" w:hAnsiTheme="minorHAnsi" w:cstheme="minorHAnsi"/>
                <w:sz w:val="22"/>
                <w:szCs w:val="22"/>
              </w:rPr>
            </w:pPr>
          </w:p>
          <w:p w14:paraId="614D1184" w14:textId="311819B6"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lastRenderedPageBreak/>
              <w:t>Z projektu skreślono definicje, które nie wymagały dodatkowego definiowania ze względu na powielanie definicji ustawowych, jak również definicje, które ze względu na skreślenia w dalszych projektowanych jednostkach redakcyjnych nie były już potrzebne w projekcie.</w:t>
            </w:r>
          </w:p>
        </w:tc>
      </w:tr>
      <w:tr w:rsidR="000864B9" w:rsidRPr="00A06425" w14:paraId="2802F78B" w14:textId="77777777" w:rsidTr="00965831">
        <w:tc>
          <w:tcPr>
            <w:tcW w:w="562" w:type="dxa"/>
            <w:shd w:val="clear" w:color="auto" w:fill="auto"/>
          </w:tcPr>
          <w:p w14:paraId="3B81ECC0" w14:textId="089A5729"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8</w:t>
            </w:r>
          </w:p>
        </w:tc>
        <w:tc>
          <w:tcPr>
            <w:tcW w:w="1134" w:type="dxa"/>
            <w:shd w:val="clear" w:color="auto" w:fill="auto"/>
          </w:tcPr>
          <w:p w14:paraId="02645A8B" w14:textId="3DDCB1F0"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EF24356" w14:textId="2E45F02E" w:rsidR="000864B9" w:rsidRPr="00A06425" w:rsidRDefault="00970FC4" w:rsidP="000864B9">
            <w:pPr>
              <w:rPr>
                <w:rFonts w:asciiTheme="minorHAnsi" w:hAnsiTheme="minorHAnsi" w:cstheme="minorHAnsi"/>
                <w:sz w:val="22"/>
                <w:szCs w:val="22"/>
              </w:rPr>
            </w:pPr>
            <w:r w:rsidRPr="00970FC4">
              <w:rPr>
                <w:rFonts w:asciiTheme="minorHAnsi" w:hAnsiTheme="minorHAnsi" w:cstheme="minorHAnsi"/>
                <w:sz w:val="22"/>
                <w:szCs w:val="22"/>
              </w:rPr>
              <w:t>§ 2</w:t>
            </w:r>
          </w:p>
        </w:tc>
        <w:tc>
          <w:tcPr>
            <w:tcW w:w="5103" w:type="dxa"/>
            <w:shd w:val="clear" w:color="auto" w:fill="auto"/>
          </w:tcPr>
          <w:p w14:paraId="0F0E26F8" w14:textId="4FA2FB21" w:rsidR="000864B9" w:rsidRPr="00A06425" w:rsidRDefault="000864B9" w:rsidP="00970FC4">
            <w:pPr>
              <w:rPr>
                <w:rFonts w:asciiTheme="minorHAnsi" w:hAnsiTheme="minorHAnsi" w:cstheme="minorHAnsi"/>
                <w:sz w:val="22"/>
                <w:szCs w:val="22"/>
              </w:rPr>
            </w:pPr>
            <w:r w:rsidRPr="00083029">
              <w:rPr>
                <w:rFonts w:asciiTheme="minorHAnsi" w:hAnsiTheme="minorHAnsi" w:cstheme="minorHAnsi"/>
                <w:sz w:val="22"/>
                <w:szCs w:val="22"/>
              </w:rPr>
              <w:t>wyjaśnić należy zasadność zróżnicowania pojęć, którymi Wnioskodawca posługuje</w:t>
            </w:r>
            <w:r>
              <w:rPr>
                <w:rFonts w:asciiTheme="minorHAnsi" w:hAnsiTheme="minorHAnsi" w:cstheme="minorHAnsi"/>
                <w:sz w:val="22"/>
                <w:szCs w:val="22"/>
              </w:rPr>
              <w:t xml:space="preserve"> </w:t>
            </w:r>
            <w:r w:rsidRPr="00083029">
              <w:rPr>
                <w:rFonts w:asciiTheme="minorHAnsi" w:hAnsiTheme="minorHAnsi" w:cstheme="minorHAnsi"/>
                <w:sz w:val="22"/>
                <w:szCs w:val="22"/>
              </w:rPr>
              <w:t>się w projekcie rozporządzenia, a mianowicie „dzień zakończenia realizacji przedsięwzięcia”</w:t>
            </w:r>
            <w:r>
              <w:rPr>
                <w:rFonts w:asciiTheme="minorHAnsi" w:hAnsiTheme="minorHAnsi" w:cstheme="minorHAnsi"/>
                <w:sz w:val="22"/>
                <w:szCs w:val="22"/>
              </w:rPr>
              <w:t xml:space="preserve"> </w:t>
            </w:r>
            <w:r w:rsidRPr="00083029">
              <w:rPr>
                <w:rFonts w:asciiTheme="minorHAnsi" w:hAnsiTheme="minorHAnsi" w:cstheme="minorHAnsi"/>
                <w:sz w:val="22"/>
                <w:szCs w:val="22"/>
              </w:rPr>
              <w:t>(§ 2 pkt 2) oraz „rozpoczęcie realizacji przedsięwzięcia” (§ 2 pkt 10). W tej mierze niezbędna</w:t>
            </w:r>
            <w:r w:rsidR="00970FC4">
              <w:rPr>
                <w:rFonts w:asciiTheme="minorHAnsi" w:hAnsiTheme="minorHAnsi" w:cstheme="minorHAnsi"/>
                <w:sz w:val="22"/>
                <w:szCs w:val="22"/>
              </w:rPr>
              <w:t xml:space="preserve"> </w:t>
            </w:r>
            <w:r w:rsidRPr="00083029">
              <w:rPr>
                <w:rFonts w:asciiTheme="minorHAnsi" w:hAnsiTheme="minorHAnsi" w:cstheme="minorHAnsi"/>
                <w:sz w:val="22"/>
                <w:szCs w:val="22"/>
              </w:rPr>
              <w:t>jest przesądzenie, czy rozpoczęcie przedsięwzięcia nie powinno być, jak jego zakończenie,</w:t>
            </w:r>
            <w:r>
              <w:rPr>
                <w:rFonts w:asciiTheme="minorHAnsi" w:hAnsiTheme="minorHAnsi" w:cstheme="minorHAnsi"/>
                <w:sz w:val="22"/>
                <w:szCs w:val="22"/>
              </w:rPr>
              <w:t xml:space="preserve"> </w:t>
            </w:r>
            <w:r w:rsidRPr="00083029">
              <w:rPr>
                <w:rFonts w:asciiTheme="minorHAnsi" w:hAnsiTheme="minorHAnsi" w:cstheme="minorHAnsi"/>
                <w:sz w:val="22"/>
                <w:szCs w:val="22"/>
              </w:rPr>
              <w:t>również określane wskazaniem dnia;</w:t>
            </w:r>
          </w:p>
        </w:tc>
        <w:tc>
          <w:tcPr>
            <w:tcW w:w="3260" w:type="dxa"/>
            <w:shd w:val="clear" w:color="auto" w:fill="auto"/>
          </w:tcPr>
          <w:p w14:paraId="2CF9B1B7" w14:textId="77777777" w:rsidR="000864B9" w:rsidRPr="00A06425" w:rsidRDefault="000864B9" w:rsidP="000864B9">
            <w:pPr>
              <w:rPr>
                <w:rFonts w:asciiTheme="minorHAnsi" w:hAnsiTheme="minorHAnsi" w:cstheme="minorHAnsi"/>
                <w:sz w:val="22"/>
                <w:szCs w:val="22"/>
              </w:rPr>
            </w:pPr>
          </w:p>
        </w:tc>
        <w:tc>
          <w:tcPr>
            <w:tcW w:w="3260" w:type="dxa"/>
          </w:tcPr>
          <w:p w14:paraId="51752B23" w14:textId="77777777" w:rsidR="00534931" w:rsidRDefault="00534931" w:rsidP="00534931">
            <w:pPr>
              <w:rPr>
                <w:rFonts w:asciiTheme="minorHAnsi" w:hAnsiTheme="minorHAnsi" w:cstheme="minorHAnsi"/>
                <w:sz w:val="22"/>
                <w:szCs w:val="22"/>
              </w:rPr>
            </w:pPr>
            <w:r>
              <w:rPr>
                <w:rFonts w:asciiTheme="minorHAnsi" w:hAnsiTheme="minorHAnsi" w:cstheme="minorHAnsi"/>
                <w:sz w:val="22"/>
                <w:szCs w:val="22"/>
              </w:rPr>
              <w:t>Wyjaśnienie:</w:t>
            </w:r>
          </w:p>
          <w:p w14:paraId="2BAF0C80" w14:textId="77777777" w:rsidR="00534931" w:rsidRDefault="00534931" w:rsidP="00534931">
            <w:pPr>
              <w:rPr>
                <w:rFonts w:asciiTheme="minorHAnsi" w:hAnsiTheme="minorHAnsi" w:cstheme="minorHAnsi"/>
                <w:sz w:val="22"/>
                <w:szCs w:val="22"/>
              </w:rPr>
            </w:pPr>
          </w:p>
          <w:p w14:paraId="0223871C" w14:textId="56EBC229" w:rsidR="000864B9" w:rsidRPr="00A06425" w:rsidRDefault="00565471" w:rsidP="00534931">
            <w:pPr>
              <w:rPr>
                <w:rFonts w:asciiTheme="minorHAnsi" w:hAnsiTheme="minorHAnsi" w:cstheme="minorHAnsi"/>
                <w:sz w:val="22"/>
                <w:szCs w:val="22"/>
              </w:rPr>
            </w:pPr>
            <w:r>
              <w:rPr>
                <w:rFonts w:asciiTheme="minorHAnsi" w:hAnsiTheme="minorHAnsi" w:cstheme="minorHAnsi"/>
                <w:sz w:val="22"/>
                <w:szCs w:val="22"/>
              </w:rPr>
              <w:t xml:space="preserve">Uwag bezprzedmiotowa – wykreślono w § 2 pkt. </w:t>
            </w:r>
            <w:r w:rsidR="000658E0">
              <w:rPr>
                <w:rFonts w:asciiTheme="minorHAnsi" w:hAnsiTheme="minorHAnsi" w:cstheme="minorHAnsi"/>
                <w:sz w:val="22"/>
                <w:szCs w:val="22"/>
              </w:rPr>
              <w:t xml:space="preserve">2 </w:t>
            </w:r>
            <w:r w:rsidR="00970FC4">
              <w:rPr>
                <w:rFonts w:asciiTheme="minorHAnsi" w:hAnsiTheme="minorHAnsi" w:cstheme="minorHAnsi"/>
                <w:sz w:val="22"/>
                <w:szCs w:val="22"/>
              </w:rPr>
              <w:t>Zakończenie</w:t>
            </w:r>
            <w:r w:rsidR="00534931">
              <w:rPr>
                <w:rFonts w:asciiTheme="minorHAnsi" w:hAnsiTheme="minorHAnsi" w:cstheme="minorHAnsi"/>
                <w:sz w:val="22"/>
                <w:szCs w:val="22"/>
              </w:rPr>
              <w:t xml:space="preserve"> realizacji przedsięwzięcia będzie określone poprzez wskazanie konkretnej daty </w:t>
            </w:r>
            <w:r w:rsidR="00970FC4">
              <w:rPr>
                <w:rFonts w:asciiTheme="minorHAnsi" w:hAnsiTheme="minorHAnsi" w:cstheme="minorHAnsi"/>
                <w:sz w:val="22"/>
                <w:szCs w:val="22"/>
              </w:rPr>
              <w:t>w umowie</w:t>
            </w:r>
            <w:r w:rsidR="00534931">
              <w:rPr>
                <w:rFonts w:asciiTheme="minorHAnsi" w:hAnsiTheme="minorHAnsi" w:cstheme="minorHAnsi"/>
                <w:sz w:val="22"/>
                <w:szCs w:val="22"/>
              </w:rPr>
              <w:t xml:space="preserve"> o objęcie przedsięwzięcia wsparciem</w:t>
            </w:r>
            <w:r w:rsidR="00970FC4">
              <w:rPr>
                <w:rFonts w:asciiTheme="minorHAnsi" w:hAnsiTheme="minorHAnsi" w:cstheme="minorHAnsi"/>
                <w:sz w:val="22"/>
                <w:szCs w:val="22"/>
              </w:rPr>
              <w:t xml:space="preserve">. </w:t>
            </w:r>
            <w:r w:rsidR="009D49EC">
              <w:rPr>
                <w:rFonts w:asciiTheme="minorHAnsi" w:hAnsiTheme="minorHAnsi" w:cstheme="minorHAnsi"/>
                <w:sz w:val="22"/>
                <w:szCs w:val="22"/>
              </w:rPr>
              <w:t>Natomiast rozpoczęcie realizacji przedsięwzięcia zostało zdefiniowane zgodnie z</w:t>
            </w:r>
            <w:r w:rsidR="00534931">
              <w:rPr>
                <w:rFonts w:asciiTheme="minorHAnsi" w:hAnsiTheme="minorHAnsi" w:cstheme="minorHAnsi"/>
                <w:sz w:val="22"/>
                <w:szCs w:val="22"/>
              </w:rPr>
              <w:t xml:space="preserve"> rozporządzeniem Komisji (UE) nr 651/2014 z dnia 17 czerwca 2014 r. uznającego niektóre rodzaje pomocy za zgodne z rynkiem wewnętrznym w zastosowaniu art. 107 i 108 Traktatu</w:t>
            </w:r>
            <w:r w:rsidR="009D49EC">
              <w:rPr>
                <w:rFonts w:asciiTheme="minorHAnsi" w:hAnsiTheme="minorHAnsi" w:cstheme="minorHAnsi"/>
                <w:sz w:val="22"/>
                <w:szCs w:val="22"/>
              </w:rPr>
              <w:t xml:space="preserve"> </w:t>
            </w:r>
            <w:r w:rsidR="00534931">
              <w:rPr>
                <w:rFonts w:asciiTheme="minorHAnsi" w:hAnsiTheme="minorHAnsi" w:cstheme="minorHAnsi"/>
                <w:sz w:val="22"/>
                <w:szCs w:val="22"/>
              </w:rPr>
              <w:t>(dalej jako „</w:t>
            </w:r>
            <w:r w:rsidR="009D49EC">
              <w:rPr>
                <w:rFonts w:asciiTheme="minorHAnsi" w:hAnsiTheme="minorHAnsi" w:cstheme="minorHAnsi"/>
                <w:sz w:val="22"/>
                <w:szCs w:val="22"/>
              </w:rPr>
              <w:t>GBER</w:t>
            </w:r>
            <w:r w:rsidR="00534931">
              <w:rPr>
                <w:rFonts w:asciiTheme="minorHAnsi" w:hAnsiTheme="minorHAnsi" w:cstheme="minorHAnsi"/>
                <w:sz w:val="22"/>
                <w:szCs w:val="22"/>
              </w:rPr>
              <w:t>”)</w:t>
            </w:r>
            <w:r w:rsidR="009D49EC">
              <w:rPr>
                <w:rFonts w:asciiTheme="minorHAnsi" w:hAnsiTheme="minorHAnsi" w:cstheme="minorHAnsi"/>
                <w:sz w:val="22"/>
                <w:szCs w:val="22"/>
              </w:rPr>
              <w:t xml:space="preserve"> jako </w:t>
            </w:r>
            <w:r w:rsidR="009D49EC" w:rsidRPr="009D49EC">
              <w:rPr>
                <w:rFonts w:asciiTheme="minorHAnsi" w:hAnsiTheme="minorHAnsi" w:cstheme="minorHAnsi"/>
                <w:sz w:val="22"/>
                <w:szCs w:val="22"/>
              </w:rPr>
              <w:t>„rozpoczęcie prac”</w:t>
            </w:r>
            <w:r w:rsidR="009D49EC">
              <w:rPr>
                <w:rFonts w:asciiTheme="minorHAnsi" w:hAnsiTheme="minorHAnsi" w:cstheme="minorHAnsi"/>
                <w:sz w:val="22"/>
                <w:szCs w:val="22"/>
              </w:rPr>
              <w:t>, które</w:t>
            </w:r>
            <w:r w:rsidR="009D49EC" w:rsidRPr="009D49EC">
              <w:rPr>
                <w:rFonts w:asciiTheme="minorHAnsi" w:hAnsiTheme="minorHAnsi" w:cstheme="minorHAnsi"/>
                <w:sz w:val="22"/>
                <w:szCs w:val="22"/>
              </w:rPr>
              <w:t xml:space="preserve"> oznacza rozpoczęcie robót budowlanych związanych z inwestycją lub pierwsze prawnie wiążące zobowiązanie do zamówienia urządzeń lub inne zobowiązanie, które sprawia, że inwestycja staje się nieodwracalna, zależnie od tego, co nastąpi najpierw.</w:t>
            </w:r>
            <w:r w:rsidR="009D49EC">
              <w:rPr>
                <w:rFonts w:asciiTheme="minorHAnsi" w:hAnsiTheme="minorHAnsi" w:cstheme="minorHAnsi"/>
                <w:sz w:val="22"/>
                <w:szCs w:val="22"/>
              </w:rPr>
              <w:t xml:space="preserve"> Definicja w GBER nie jest </w:t>
            </w:r>
            <w:r w:rsidR="00534931">
              <w:rPr>
                <w:rFonts w:asciiTheme="minorHAnsi" w:hAnsiTheme="minorHAnsi" w:cstheme="minorHAnsi"/>
                <w:sz w:val="22"/>
                <w:szCs w:val="22"/>
              </w:rPr>
              <w:t xml:space="preserve">określona poprzez </w:t>
            </w:r>
            <w:r w:rsidR="00534931">
              <w:rPr>
                <w:rFonts w:asciiTheme="minorHAnsi" w:hAnsiTheme="minorHAnsi" w:cstheme="minorHAnsi"/>
                <w:sz w:val="22"/>
                <w:szCs w:val="22"/>
              </w:rPr>
              <w:lastRenderedPageBreak/>
              <w:t>odniesienie do daty dziennej</w:t>
            </w:r>
            <w:r w:rsidR="004D042C">
              <w:rPr>
                <w:rFonts w:asciiTheme="minorHAnsi" w:hAnsiTheme="minorHAnsi" w:cstheme="minorHAnsi"/>
                <w:sz w:val="22"/>
                <w:szCs w:val="22"/>
              </w:rPr>
              <w:t>,</w:t>
            </w:r>
            <w:r w:rsidR="009D49EC">
              <w:rPr>
                <w:rFonts w:asciiTheme="minorHAnsi" w:hAnsiTheme="minorHAnsi" w:cstheme="minorHAnsi"/>
                <w:sz w:val="22"/>
                <w:szCs w:val="22"/>
              </w:rPr>
              <w:t xml:space="preserve"> dlatego w </w:t>
            </w:r>
            <w:r w:rsidR="00534931">
              <w:rPr>
                <w:rFonts w:asciiTheme="minorHAnsi" w:hAnsiTheme="minorHAnsi" w:cstheme="minorHAnsi"/>
                <w:sz w:val="22"/>
                <w:szCs w:val="22"/>
              </w:rPr>
              <w:t xml:space="preserve">projektowanym </w:t>
            </w:r>
            <w:r w:rsidR="009D49EC">
              <w:rPr>
                <w:rFonts w:asciiTheme="minorHAnsi" w:hAnsiTheme="minorHAnsi" w:cstheme="minorHAnsi"/>
                <w:sz w:val="22"/>
                <w:szCs w:val="22"/>
              </w:rPr>
              <w:t>rozporządzeniu również nie wskazano „dnia rozpoczęcia realizacji przedsięwzięcia”.</w:t>
            </w:r>
          </w:p>
        </w:tc>
      </w:tr>
      <w:tr w:rsidR="000864B9" w:rsidRPr="00A06425" w14:paraId="02EFA9B3" w14:textId="77777777" w:rsidTr="00965831">
        <w:tc>
          <w:tcPr>
            <w:tcW w:w="562" w:type="dxa"/>
            <w:shd w:val="clear" w:color="auto" w:fill="auto"/>
          </w:tcPr>
          <w:p w14:paraId="3FB5863A" w14:textId="1704BC0D"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9</w:t>
            </w:r>
          </w:p>
        </w:tc>
        <w:tc>
          <w:tcPr>
            <w:tcW w:w="1134" w:type="dxa"/>
            <w:shd w:val="clear" w:color="auto" w:fill="auto"/>
          </w:tcPr>
          <w:p w14:paraId="31EB31B8" w14:textId="56A32837"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6DF20BC" w14:textId="6DE8B5CA" w:rsidR="000864B9" w:rsidRPr="00A06425" w:rsidRDefault="00054B17" w:rsidP="000864B9">
            <w:pPr>
              <w:rPr>
                <w:rFonts w:asciiTheme="minorHAnsi" w:hAnsiTheme="minorHAnsi" w:cstheme="minorHAnsi"/>
                <w:sz w:val="22"/>
                <w:szCs w:val="22"/>
              </w:rPr>
            </w:pPr>
            <w:r w:rsidRPr="00083029">
              <w:rPr>
                <w:rFonts w:asciiTheme="minorHAnsi" w:hAnsiTheme="minorHAnsi" w:cstheme="minorHAnsi"/>
                <w:sz w:val="22"/>
                <w:szCs w:val="22"/>
              </w:rPr>
              <w:t>§ 2</w:t>
            </w:r>
          </w:p>
        </w:tc>
        <w:tc>
          <w:tcPr>
            <w:tcW w:w="5103" w:type="dxa"/>
            <w:shd w:val="clear" w:color="auto" w:fill="auto"/>
          </w:tcPr>
          <w:p w14:paraId="670D3770" w14:textId="54117293"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w definicji sieci NGA – § 2 pkt 11 projektu rozporządzenia – do rozważenia</w:t>
            </w:r>
            <w:r>
              <w:rPr>
                <w:rFonts w:asciiTheme="minorHAnsi" w:hAnsiTheme="minorHAnsi" w:cstheme="minorHAnsi"/>
                <w:sz w:val="22"/>
                <w:szCs w:val="22"/>
              </w:rPr>
              <w:t xml:space="preserve"> </w:t>
            </w:r>
            <w:r w:rsidRPr="00083029">
              <w:rPr>
                <w:rFonts w:asciiTheme="minorHAnsi" w:hAnsiTheme="minorHAnsi" w:cstheme="minorHAnsi"/>
                <w:sz w:val="22"/>
                <w:szCs w:val="22"/>
              </w:rPr>
              <w:t>pozostaje uzupełnienie definiowanego pojęcia o wyjaśnienie skrótu NGA – next-generation</w:t>
            </w:r>
            <w:r>
              <w:rPr>
                <w:rFonts w:asciiTheme="minorHAnsi" w:hAnsiTheme="minorHAnsi" w:cstheme="minorHAnsi"/>
                <w:sz w:val="22"/>
                <w:szCs w:val="22"/>
              </w:rPr>
              <w:t xml:space="preserve"> </w:t>
            </w:r>
            <w:r w:rsidRPr="00083029">
              <w:rPr>
                <w:rFonts w:asciiTheme="minorHAnsi" w:hAnsiTheme="minorHAnsi" w:cstheme="minorHAnsi"/>
                <w:sz w:val="22"/>
                <w:szCs w:val="22"/>
              </w:rPr>
              <w:t>access – sieci dostępu nowej generacji. Ponadto w objaśnieniu ww. pojęcia pojawia się</w:t>
            </w:r>
            <w:r w:rsidR="00C12D19">
              <w:rPr>
                <w:rFonts w:asciiTheme="minorHAnsi" w:hAnsiTheme="minorHAnsi" w:cstheme="minorHAnsi"/>
                <w:sz w:val="22"/>
                <w:szCs w:val="22"/>
              </w:rPr>
              <w:t xml:space="preserve"> </w:t>
            </w:r>
            <w:r w:rsidRPr="00083029">
              <w:rPr>
                <w:rFonts w:asciiTheme="minorHAnsi" w:hAnsiTheme="minorHAnsi" w:cstheme="minorHAnsi"/>
                <w:sz w:val="22"/>
                <w:szCs w:val="22"/>
              </w:rPr>
              <w:t>stwierdzenie o „gwarantowanej” przepustowości taki</w:t>
            </w:r>
            <w:r>
              <w:rPr>
                <w:rFonts w:asciiTheme="minorHAnsi" w:hAnsiTheme="minorHAnsi" w:cstheme="minorHAnsi"/>
                <w:sz w:val="22"/>
                <w:szCs w:val="22"/>
              </w:rPr>
              <w:t xml:space="preserve">ej sieci szerokopasmowej. Należy </w:t>
            </w:r>
            <w:r w:rsidRPr="00083029">
              <w:rPr>
                <w:rFonts w:asciiTheme="minorHAnsi" w:hAnsiTheme="minorHAnsi" w:cstheme="minorHAnsi"/>
                <w:sz w:val="22"/>
                <w:szCs w:val="22"/>
              </w:rPr>
              <w:t>zauważyć, iż Krajowy Plan Odbudowy i Zwiększania Odporności – stanowiący plan</w:t>
            </w:r>
            <w:r>
              <w:rPr>
                <w:rFonts w:asciiTheme="minorHAnsi" w:hAnsiTheme="minorHAnsi" w:cstheme="minorHAnsi"/>
                <w:sz w:val="22"/>
                <w:szCs w:val="22"/>
              </w:rPr>
              <w:t xml:space="preserve"> </w:t>
            </w:r>
            <w:r w:rsidRPr="00083029">
              <w:rPr>
                <w:rFonts w:asciiTheme="minorHAnsi" w:hAnsiTheme="minorHAnsi" w:cstheme="minorHAnsi"/>
                <w:sz w:val="22"/>
                <w:szCs w:val="22"/>
              </w:rPr>
              <w:t>rozwojowy, w ramach którego udzielane będzie bezzwrotne wsparcie finansowe na rozwój</w:t>
            </w:r>
            <w:r>
              <w:rPr>
                <w:rFonts w:asciiTheme="minorHAnsi" w:hAnsiTheme="minorHAnsi" w:cstheme="minorHAnsi"/>
                <w:sz w:val="22"/>
                <w:szCs w:val="22"/>
              </w:rPr>
              <w:t xml:space="preserve"> </w:t>
            </w:r>
            <w:r w:rsidRPr="00083029">
              <w:rPr>
                <w:rFonts w:asciiTheme="minorHAnsi" w:hAnsiTheme="minorHAnsi" w:cstheme="minorHAnsi"/>
                <w:sz w:val="22"/>
                <w:szCs w:val="22"/>
              </w:rPr>
              <w:t>infrastruktury szerokopasmowej, stanowi o budowie infrastruktury bazującej na</w:t>
            </w:r>
          </w:p>
          <w:p w14:paraId="0114A613" w14:textId="77777777"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rozwiązaniach, które umożliwią świadczenie użytkownikom końcowym usług dostępu do</w:t>
            </w:r>
          </w:p>
          <w:p w14:paraId="2D650E68" w14:textId="0EADCC36"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Internetu o przepustowości „co najmniej” 100 Mb/s”. Tym samym przesądza się</w:t>
            </w:r>
            <w:r>
              <w:rPr>
                <w:rFonts w:asciiTheme="minorHAnsi" w:hAnsiTheme="minorHAnsi" w:cstheme="minorHAnsi"/>
                <w:sz w:val="22"/>
                <w:szCs w:val="22"/>
              </w:rPr>
              <w:t xml:space="preserve"> </w:t>
            </w:r>
            <w:r w:rsidRPr="00083029">
              <w:rPr>
                <w:rFonts w:asciiTheme="minorHAnsi" w:hAnsiTheme="minorHAnsi" w:cstheme="minorHAnsi"/>
                <w:sz w:val="22"/>
                <w:szCs w:val="22"/>
              </w:rPr>
              <w:t>o „minimalnej” przepustowości sieci szerokopasmowej. Natomiast użycie sformułowania</w:t>
            </w:r>
          </w:p>
          <w:p w14:paraId="18E689DB" w14:textId="77777777"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„gwarantowanej” niesie ze sobą pewien element zobowiązania dostawcy sieci do osiągnięcia</w:t>
            </w:r>
          </w:p>
          <w:p w14:paraId="5F435F20" w14:textId="77777777" w:rsidR="000864B9" w:rsidRPr="00083029"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zakładanego rezultatu. O przepustowości „co najmniej 100 Mb/s” stanowi szereg aktów</w:t>
            </w:r>
          </w:p>
          <w:p w14:paraId="58F78B4F" w14:textId="7A91EC28" w:rsidR="000864B9" w:rsidRPr="00A06425" w:rsidRDefault="000864B9" w:rsidP="000864B9">
            <w:pPr>
              <w:rPr>
                <w:rFonts w:asciiTheme="minorHAnsi" w:hAnsiTheme="minorHAnsi" w:cstheme="minorHAnsi"/>
                <w:sz w:val="22"/>
                <w:szCs w:val="22"/>
              </w:rPr>
            </w:pPr>
            <w:r w:rsidRPr="00083029">
              <w:rPr>
                <w:rFonts w:asciiTheme="minorHAnsi" w:hAnsiTheme="minorHAnsi" w:cstheme="minorHAnsi"/>
                <w:sz w:val="22"/>
                <w:szCs w:val="22"/>
              </w:rPr>
              <w:t>prawnych, w tym ustawa z dnia 27 października 2017 r. o Ogólnopolskiej Sieci Edukacyjnej</w:t>
            </w:r>
            <w:r>
              <w:rPr>
                <w:rFonts w:asciiTheme="minorHAnsi" w:hAnsiTheme="minorHAnsi" w:cstheme="minorHAnsi"/>
                <w:sz w:val="22"/>
                <w:szCs w:val="22"/>
              </w:rPr>
              <w:t xml:space="preserve"> </w:t>
            </w:r>
            <w:r w:rsidRPr="00083029">
              <w:rPr>
                <w:rFonts w:asciiTheme="minorHAnsi" w:hAnsiTheme="minorHAnsi" w:cstheme="minorHAnsi"/>
                <w:sz w:val="22"/>
                <w:szCs w:val="22"/>
              </w:rPr>
              <w:t xml:space="preserve">(Dz. U. z 2021 r. poz. 989, z późn. zm.) czy Narodowy Plan Szerokopasmowy. </w:t>
            </w:r>
          </w:p>
        </w:tc>
        <w:tc>
          <w:tcPr>
            <w:tcW w:w="3260" w:type="dxa"/>
            <w:shd w:val="clear" w:color="auto" w:fill="auto"/>
          </w:tcPr>
          <w:p w14:paraId="2BA84CB0" w14:textId="63D659E5" w:rsidR="000864B9" w:rsidRPr="00A06425" w:rsidRDefault="000864B9" w:rsidP="000864B9">
            <w:pPr>
              <w:rPr>
                <w:rFonts w:asciiTheme="minorHAnsi" w:hAnsiTheme="minorHAnsi" w:cstheme="minorHAnsi"/>
                <w:sz w:val="22"/>
                <w:szCs w:val="22"/>
              </w:rPr>
            </w:pPr>
            <w:r w:rsidRPr="00272A2E">
              <w:rPr>
                <w:rFonts w:asciiTheme="minorHAnsi" w:hAnsiTheme="minorHAnsi" w:cstheme="minorHAnsi"/>
                <w:sz w:val="22"/>
                <w:szCs w:val="22"/>
              </w:rPr>
              <w:t>Wobec</w:t>
            </w:r>
            <w:r>
              <w:rPr>
                <w:rFonts w:asciiTheme="minorHAnsi" w:hAnsiTheme="minorHAnsi" w:cstheme="minorHAnsi"/>
                <w:sz w:val="22"/>
                <w:szCs w:val="22"/>
              </w:rPr>
              <w:t xml:space="preserve"> </w:t>
            </w:r>
            <w:r w:rsidRPr="00272A2E">
              <w:rPr>
                <w:rFonts w:asciiTheme="minorHAnsi" w:hAnsiTheme="minorHAnsi" w:cstheme="minorHAnsi"/>
                <w:sz w:val="22"/>
                <w:szCs w:val="22"/>
              </w:rPr>
              <w:t>powyższego proponuje się skorelowanie pojęć i użycie w definicji sieci NGA określenia</w:t>
            </w:r>
            <w:r>
              <w:rPr>
                <w:rFonts w:asciiTheme="minorHAnsi" w:hAnsiTheme="minorHAnsi" w:cstheme="minorHAnsi"/>
                <w:sz w:val="22"/>
                <w:szCs w:val="22"/>
              </w:rPr>
              <w:t xml:space="preserve"> </w:t>
            </w:r>
            <w:r w:rsidRPr="00272A2E">
              <w:rPr>
                <w:rFonts w:asciiTheme="minorHAnsi" w:hAnsiTheme="minorHAnsi" w:cstheme="minorHAnsi"/>
                <w:sz w:val="22"/>
                <w:szCs w:val="22"/>
              </w:rPr>
              <w:t>„dostępu do Internetu o przepustowości co najmniej 100 Mb/s”</w:t>
            </w:r>
          </w:p>
        </w:tc>
        <w:tc>
          <w:tcPr>
            <w:tcW w:w="3260" w:type="dxa"/>
          </w:tcPr>
          <w:p w14:paraId="3F10F802" w14:textId="77777777" w:rsidR="000864B9" w:rsidRDefault="00054B17"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09074756" w14:textId="77777777" w:rsidR="00534931" w:rsidRDefault="00534931" w:rsidP="000864B9">
            <w:pPr>
              <w:rPr>
                <w:rFonts w:asciiTheme="minorHAnsi" w:hAnsiTheme="minorHAnsi" w:cstheme="minorHAnsi"/>
                <w:sz w:val="22"/>
                <w:szCs w:val="22"/>
              </w:rPr>
            </w:pPr>
          </w:p>
          <w:p w14:paraId="7292C07E" w14:textId="0B96644F" w:rsidR="00534931" w:rsidRPr="00A06425" w:rsidRDefault="00534931" w:rsidP="000864B9">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5B546325" w14:textId="77777777" w:rsidTr="00965831">
        <w:tc>
          <w:tcPr>
            <w:tcW w:w="562" w:type="dxa"/>
            <w:shd w:val="clear" w:color="auto" w:fill="auto"/>
          </w:tcPr>
          <w:p w14:paraId="2DEEF696" w14:textId="1A124561"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10</w:t>
            </w:r>
          </w:p>
        </w:tc>
        <w:tc>
          <w:tcPr>
            <w:tcW w:w="1134" w:type="dxa"/>
            <w:shd w:val="clear" w:color="auto" w:fill="auto"/>
          </w:tcPr>
          <w:p w14:paraId="43769DF3" w14:textId="4C4AB2A0"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38965BBA" w14:textId="5B98A405" w:rsidR="000864B9" w:rsidRPr="00A06425" w:rsidRDefault="00622616" w:rsidP="000864B9">
            <w:pPr>
              <w:rPr>
                <w:rFonts w:asciiTheme="minorHAnsi" w:hAnsiTheme="minorHAnsi" w:cstheme="minorHAnsi"/>
                <w:sz w:val="22"/>
                <w:szCs w:val="22"/>
              </w:rPr>
            </w:pPr>
            <w:r w:rsidRPr="00622616">
              <w:rPr>
                <w:rFonts w:asciiTheme="minorHAnsi" w:hAnsiTheme="minorHAnsi" w:cstheme="minorHAnsi"/>
                <w:sz w:val="22"/>
                <w:szCs w:val="22"/>
              </w:rPr>
              <w:t>§ 2 pkt 13</w:t>
            </w:r>
          </w:p>
        </w:tc>
        <w:tc>
          <w:tcPr>
            <w:tcW w:w="5103" w:type="dxa"/>
            <w:shd w:val="clear" w:color="auto" w:fill="auto"/>
          </w:tcPr>
          <w:p w14:paraId="0EDFA3CB" w14:textId="77777777" w:rsidR="000864B9" w:rsidRDefault="000864B9" w:rsidP="000864B9">
            <w:pPr>
              <w:rPr>
                <w:rFonts w:asciiTheme="minorHAnsi" w:hAnsiTheme="minorHAnsi" w:cstheme="minorHAnsi"/>
                <w:sz w:val="22"/>
                <w:szCs w:val="22"/>
              </w:rPr>
            </w:pPr>
            <w:r>
              <w:rPr>
                <w:rFonts w:asciiTheme="minorHAnsi" w:hAnsiTheme="minorHAnsi" w:cstheme="minorHAnsi"/>
                <w:sz w:val="22"/>
                <w:szCs w:val="22"/>
              </w:rPr>
              <w:t>o</w:t>
            </w:r>
            <w:r w:rsidRPr="0015604A">
              <w:rPr>
                <w:rFonts w:asciiTheme="minorHAnsi" w:hAnsiTheme="minorHAnsi" w:cstheme="minorHAnsi"/>
                <w:sz w:val="22"/>
                <w:szCs w:val="22"/>
              </w:rPr>
              <w:t xml:space="preserve">dnosząc się do definicji „trwałości przedsięwzięcia” zawartej w § 2 pkt 13 projektu rozporządzenia, przez którą Wnioskodawca rozumie trwałość operacji określoną w art. 65 rozporządzenia Parlamentu Europejskiego i Rady (UE) nr 2021/1060, wskazać należy na następujący problem. Artykuł 65 rozporządzenia unijnego nie określa stricte, czym jest </w:t>
            </w:r>
            <w:r w:rsidRPr="0015604A">
              <w:rPr>
                <w:rFonts w:asciiTheme="minorHAnsi" w:hAnsiTheme="minorHAnsi" w:cstheme="minorHAnsi"/>
                <w:sz w:val="22"/>
                <w:szCs w:val="22"/>
              </w:rPr>
              <w:lastRenderedPageBreak/>
              <w:t>ww. trwałość – stanowi jedynie o pewnych okolicznościach oraz okresach, w których należy dokonać zwrotu wkładu z Funduszy przeznaczonego na operację obejmującą inwestycje w infrastrukturę lub inwestycje produkcyjne.</w:t>
            </w:r>
          </w:p>
          <w:p w14:paraId="7B49D059" w14:textId="355E2A71" w:rsidR="000864B9" w:rsidRPr="00A06425" w:rsidRDefault="000864B9" w:rsidP="000864B9">
            <w:pPr>
              <w:rPr>
                <w:rFonts w:asciiTheme="minorHAnsi" w:hAnsiTheme="minorHAnsi" w:cstheme="minorHAnsi"/>
                <w:sz w:val="22"/>
                <w:szCs w:val="22"/>
              </w:rPr>
            </w:pPr>
          </w:p>
        </w:tc>
        <w:tc>
          <w:tcPr>
            <w:tcW w:w="3260" w:type="dxa"/>
            <w:shd w:val="clear" w:color="auto" w:fill="auto"/>
          </w:tcPr>
          <w:p w14:paraId="163982E9" w14:textId="13EECE6F" w:rsidR="000864B9" w:rsidRPr="0015604A" w:rsidRDefault="000864B9" w:rsidP="000864B9">
            <w:pPr>
              <w:rPr>
                <w:rFonts w:asciiTheme="minorHAnsi" w:hAnsiTheme="minorHAnsi" w:cstheme="minorHAnsi"/>
                <w:sz w:val="22"/>
                <w:szCs w:val="22"/>
              </w:rPr>
            </w:pPr>
            <w:r w:rsidRPr="0015604A">
              <w:rPr>
                <w:rFonts w:asciiTheme="minorHAnsi" w:hAnsiTheme="minorHAnsi" w:cstheme="minorHAnsi"/>
                <w:sz w:val="22"/>
                <w:szCs w:val="22"/>
              </w:rPr>
              <w:lastRenderedPageBreak/>
              <w:t>Biorąc pod uwagę fakt, iż w § 5 ust. 2 pkt 4 projektu rozporządzenia zakłada się, jako</w:t>
            </w:r>
            <w:r>
              <w:rPr>
                <w:rFonts w:asciiTheme="minorHAnsi" w:hAnsiTheme="minorHAnsi" w:cstheme="minorHAnsi"/>
                <w:sz w:val="22"/>
                <w:szCs w:val="22"/>
              </w:rPr>
              <w:t xml:space="preserve"> </w:t>
            </w:r>
            <w:r w:rsidRPr="0015604A">
              <w:rPr>
                <w:rFonts w:asciiTheme="minorHAnsi" w:hAnsiTheme="minorHAnsi" w:cstheme="minorHAnsi"/>
                <w:sz w:val="22"/>
                <w:szCs w:val="22"/>
              </w:rPr>
              <w:t>jeden z warunków udzielenia wsparcia, zobowiązanie się wnioskodawcy do realizacji</w:t>
            </w:r>
            <w:r>
              <w:rPr>
                <w:rFonts w:asciiTheme="minorHAnsi" w:hAnsiTheme="minorHAnsi" w:cstheme="minorHAnsi"/>
                <w:sz w:val="22"/>
                <w:szCs w:val="22"/>
              </w:rPr>
              <w:t xml:space="preserve"> </w:t>
            </w:r>
            <w:r w:rsidRPr="0015604A">
              <w:rPr>
                <w:rFonts w:asciiTheme="minorHAnsi" w:hAnsiTheme="minorHAnsi" w:cstheme="minorHAnsi"/>
                <w:sz w:val="22"/>
                <w:szCs w:val="22"/>
              </w:rPr>
              <w:t xml:space="preserve">i zachowania trwałości </w:t>
            </w:r>
            <w:r w:rsidRPr="0015604A">
              <w:rPr>
                <w:rFonts w:asciiTheme="minorHAnsi" w:hAnsiTheme="minorHAnsi" w:cstheme="minorHAnsi"/>
                <w:sz w:val="22"/>
                <w:szCs w:val="22"/>
              </w:rPr>
              <w:lastRenderedPageBreak/>
              <w:t>przedsięwzięcia, zasadnym wydaje się rzeczywiste wyjaśnienie, czym</w:t>
            </w:r>
          </w:p>
          <w:p w14:paraId="59CAE81B" w14:textId="2E5285FB" w:rsidR="000864B9" w:rsidRPr="00A06425" w:rsidRDefault="000864B9" w:rsidP="000864B9">
            <w:pPr>
              <w:rPr>
                <w:rFonts w:asciiTheme="minorHAnsi" w:hAnsiTheme="minorHAnsi" w:cstheme="minorHAnsi"/>
                <w:sz w:val="22"/>
                <w:szCs w:val="22"/>
              </w:rPr>
            </w:pPr>
            <w:r w:rsidRPr="0015604A">
              <w:rPr>
                <w:rFonts w:asciiTheme="minorHAnsi" w:hAnsiTheme="minorHAnsi" w:cstheme="minorHAnsi"/>
                <w:sz w:val="22"/>
                <w:szCs w:val="22"/>
              </w:rPr>
              <w:t>ma być przedmiotowa „trwałość” i odpowiednie sformułowanie definicji w tej mierze.</w:t>
            </w:r>
            <w:r>
              <w:rPr>
                <w:rFonts w:asciiTheme="minorHAnsi" w:hAnsiTheme="minorHAnsi" w:cstheme="minorHAnsi"/>
                <w:sz w:val="22"/>
                <w:szCs w:val="22"/>
              </w:rPr>
              <w:t xml:space="preserve"> </w:t>
            </w:r>
            <w:r w:rsidRPr="0015604A">
              <w:rPr>
                <w:rFonts w:asciiTheme="minorHAnsi" w:hAnsiTheme="minorHAnsi" w:cstheme="minorHAnsi"/>
                <w:sz w:val="22"/>
                <w:szCs w:val="22"/>
              </w:rPr>
              <w:t>Jedynie z uzasadnienia projektu wynika bowiem odniesienie trwałości przedsięwzięcia do</w:t>
            </w:r>
            <w:r>
              <w:rPr>
                <w:rFonts w:asciiTheme="minorHAnsi" w:hAnsiTheme="minorHAnsi" w:cstheme="minorHAnsi"/>
                <w:sz w:val="22"/>
                <w:szCs w:val="22"/>
              </w:rPr>
              <w:t xml:space="preserve"> </w:t>
            </w:r>
            <w:r w:rsidRPr="0015604A">
              <w:rPr>
                <w:rFonts w:asciiTheme="minorHAnsi" w:hAnsiTheme="minorHAnsi" w:cstheme="minorHAnsi"/>
                <w:sz w:val="22"/>
                <w:szCs w:val="22"/>
              </w:rPr>
              <w:t>utrzymania jego efektów w określonym czasie po jego zakończeniu;</w:t>
            </w:r>
          </w:p>
        </w:tc>
        <w:tc>
          <w:tcPr>
            <w:tcW w:w="3260" w:type="dxa"/>
          </w:tcPr>
          <w:p w14:paraId="30C2C50B" w14:textId="77777777" w:rsidR="000864B9" w:rsidRDefault="00534931" w:rsidP="00534931">
            <w:pPr>
              <w:rPr>
                <w:rFonts w:asciiTheme="minorHAnsi" w:hAnsiTheme="minorHAnsi" w:cstheme="minorHAnsi"/>
                <w:sz w:val="22"/>
                <w:szCs w:val="22"/>
              </w:rPr>
            </w:pPr>
            <w:r>
              <w:rPr>
                <w:rFonts w:asciiTheme="minorHAnsi" w:hAnsiTheme="minorHAnsi" w:cstheme="minorHAnsi"/>
                <w:sz w:val="22"/>
                <w:szCs w:val="22"/>
              </w:rPr>
              <w:lastRenderedPageBreak/>
              <w:t>Uwaga uwzględniona</w:t>
            </w:r>
          </w:p>
          <w:p w14:paraId="2366ED69" w14:textId="77777777" w:rsidR="00534931" w:rsidRDefault="00534931" w:rsidP="00534931">
            <w:pPr>
              <w:rPr>
                <w:rFonts w:asciiTheme="minorHAnsi" w:hAnsiTheme="minorHAnsi" w:cstheme="minorHAnsi"/>
                <w:sz w:val="22"/>
                <w:szCs w:val="22"/>
              </w:rPr>
            </w:pPr>
          </w:p>
          <w:p w14:paraId="583744B9" w14:textId="3EAE9EE0"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5DBCEF74" w14:textId="77777777" w:rsidTr="00965831">
        <w:tc>
          <w:tcPr>
            <w:tcW w:w="562" w:type="dxa"/>
            <w:shd w:val="clear" w:color="auto" w:fill="auto"/>
          </w:tcPr>
          <w:p w14:paraId="3FBD038E" w14:textId="3B0E01C6"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11</w:t>
            </w:r>
          </w:p>
        </w:tc>
        <w:tc>
          <w:tcPr>
            <w:tcW w:w="1134" w:type="dxa"/>
            <w:shd w:val="clear" w:color="auto" w:fill="auto"/>
          </w:tcPr>
          <w:p w14:paraId="513E3128" w14:textId="68B38C7F" w:rsidR="000864B9" w:rsidRPr="00CB7F49" w:rsidRDefault="000864B9" w:rsidP="000864B9">
            <w:pPr>
              <w:spacing w:before="60" w:after="60"/>
              <w:rPr>
                <w:rFonts w:asciiTheme="minorHAnsi" w:hAnsiTheme="minorHAnsi" w:cstheme="minorHAnsi"/>
                <w:b/>
                <w:color w:val="FF0000"/>
                <w:sz w:val="22"/>
                <w:szCs w:val="22"/>
              </w:rPr>
            </w:pPr>
            <w:r w:rsidRPr="005674DD">
              <w:rPr>
                <w:rFonts w:asciiTheme="minorHAnsi" w:hAnsiTheme="minorHAnsi" w:cstheme="minorHAnsi"/>
                <w:b/>
                <w:sz w:val="22"/>
                <w:szCs w:val="22"/>
              </w:rPr>
              <w:t>RCL</w:t>
            </w:r>
          </w:p>
        </w:tc>
        <w:tc>
          <w:tcPr>
            <w:tcW w:w="1843" w:type="dxa"/>
            <w:shd w:val="clear" w:color="auto" w:fill="auto"/>
          </w:tcPr>
          <w:p w14:paraId="59F0ABD0" w14:textId="4649EC5C" w:rsidR="000864B9" w:rsidRPr="00CB7F49" w:rsidRDefault="009E52C3" w:rsidP="000864B9">
            <w:pPr>
              <w:rPr>
                <w:rFonts w:asciiTheme="minorHAnsi" w:hAnsiTheme="minorHAnsi" w:cstheme="minorHAnsi"/>
                <w:color w:val="FF0000"/>
                <w:sz w:val="22"/>
                <w:szCs w:val="22"/>
              </w:rPr>
            </w:pPr>
            <w:r w:rsidRPr="005674DD">
              <w:rPr>
                <w:rFonts w:asciiTheme="minorHAnsi" w:hAnsiTheme="minorHAnsi" w:cstheme="minorHAnsi"/>
                <w:sz w:val="22"/>
                <w:szCs w:val="22"/>
              </w:rPr>
              <w:t>§ 2</w:t>
            </w:r>
          </w:p>
        </w:tc>
        <w:tc>
          <w:tcPr>
            <w:tcW w:w="5103" w:type="dxa"/>
            <w:shd w:val="clear" w:color="auto" w:fill="auto"/>
          </w:tcPr>
          <w:p w14:paraId="156F9EEB" w14:textId="502E5B9E" w:rsidR="000864B9" w:rsidRPr="00471627" w:rsidRDefault="000864B9" w:rsidP="000864B9">
            <w:pPr>
              <w:rPr>
                <w:rFonts w:asciiTheme="minorHAnsi" w:hAnsiTheme="minorHAnsi" w:cstheme="minorHAnsi"/>
                <w:sz w:val="22"/>
                <w:szCs w:val="22"/>
              </w:rPr>
            </w:pPr>
            <w:r w:rsidRPr="00471627">
              <w:rPr>
                <w:rFonts w:asciiTheme="minorHAnsi" w:hAnsiTheme="minorHAnsi" w:cstheme="minorHAnsi"/>
                <w:sz w:val="22"/>
                <w:szCs w:val="22"/>
              </w:rPr>
              <w:t>jako, że projektowany akt posługuje się pojęciem „przedsiębiorcy</w:t>
            </w:r>
            <w:r>
              <w:rPr>
                <w:rFonts w:asciiTheme="minorHAnsi" w:hAnsiTheme="minorHAnsi" w:cstheme="minorHAnsi"/>
                <w:sz w:val="22"/>
                <w:szCs w:val="22"/>
              </w:rPr>
              <w:t xml:space="preserve"> </w:t>
            </w:r>
            <w:r w:rsidRPr="00471627">
              <w:rPr>
                <w:rFonts w:asciiTheme="minorHAnsi" w:hAnsiTheme="minorHAnsi" w:cstheme="minorHAnsi"/>
                <w:sz w:val="22"/>
                <w:szCs w:val="22"/>
              </w:rPr>
              <w:t>telekomunikacyjnego” (m.in. w § 3), zaś w § 2 nie zawarto definicji tego pojęcia przez</w:t>
            </w:r>
            <w:r>
              <w:rPr>
                <w:rFonts w:asciiTheme="minorHAnsi" w:hAnsiTheme="minorHAnsi" w:cstheme="minorHAnsi"/>
                <w:sz w:val="22"/>
                <w:szCs w:val="22"/>
              </w:rPr>
              <w:t xml:space="preserve"> </w:t>
            </w:r>
            <w:r w:rsidRPr="00471627">
              <w:rPr>
                <w:rFonts w:asciiTheme="minorHAnsi" w:hAnsiTheme="minorHAnsi" w:cstheme="minorHAnsi"/>
                <w:sz w:val="22"/>
                <w:szCs w:val="22"/>
              </w:rPr>
              <w:t>odniesienie się do Prawa telekomunikacyjnego, należy uzupełnić przepisy projektu w tym</w:t>
            </w:r>
          </w:p>
          <w:p w14:paraId="00FC3411" w14:textId="770A878B" w:rsidR="000864B9" w:rsidRPr="00A06425" w:rsidRDefault="000864B9" w:rsidP="000864B9">
            <w:pPr>
              <w:rPr>
                <w:rFonts w:asciiTheme="minorHAnsi" w:hAnsiTheme="minorHAnsi" w:cstheme="minorHAnsi"/>
                <w:sz w:val="22"/>
                <w:szCs w:val="22"/>
              </w:rPr>
            </w:pPr>
            <w:r w:rsidRPr="00471627">
              <w:rPr>
                <w:rFonts w:asciiTheme="minorHAnsi" w:hAnsiTheme="minorHAnsi" w:cstheme="minorHAnsi"/>
                <w:sz w:val="22"/>
                <w:szCs w:val="22"/>
              </w:rPr>
              <w:t>zakresie, gdyż rozumienie ww. pojęcia jest kluczowe dla udzielenia wsparcia na dane</w:t>
            </w:r>
            <w:r>
              <w:rPr>
                <w:rFonts w:asciiTheme="minorHAnsi" w:hAnsiTheme="minorHAnsi" w:cstheme="minorHAnsi"/>
                <w:sz w:val="22"/>
                <w:szCs w:val="22"/>
              </w:rPr>
              <w:t xml:space="preserve"> </w:t>
            </w:r>
            <w:r w:rsidRPr="00471627">
              <w:rPr>
                <w:rFonts w:asciiTheme="minorHAnsi" w:hAnsiTheme="minorHAnsi" w:cstheme="minorHAnsi"/>
                <w:sz w:val="22"/>
                <w:szCs w:val="22"/>
              </w:rPr>
              <w:t>przedsięwzięcie;</w:t>
            </w:r>
          </w:p>
        </w:tc>
        <w:tc>
          <w:tcPr>
            <w:tcW w:w="3260" w:type="dxa"/>
            <w:shd w:val="clear" w:color="auto" w:fill="auto"/>
          </w:tcPr>
          <w:p w14:paraId="66661A0F" w14:textId="77777777" w:rsidR="000864B9" w:rsidRPr="00A06425" w:rsidRDefault="000864B9" w:rsidP="000864B9">
            <w:pPr>
              <w:rPr>
                <w:rFonts w:asciiTheme="minorHAnsi" w:hAnsiTheme="minorHAnsi" w:cstheme="minorHAnsi"/>
                <w:sz w:val="22"/>
                <w:szCs w:val="22"/>
              </w:rPr>
            </w:pPr>
          </w:p>
        </w:tc>
        <w:tc>
          <w:tcPr>
            <w:tcW w:w="3260" w:type="dxa"/>
          </w:tcPr>
          <w:p w14:paraId="43A86689" w14:textId="1DEC125E" w:rsidR="00C50A6B" w:rsidRDefault="009E52C3" w:rsidP="00C50A6B">
            <w:pPr>
              <w:rPr>
                <w:rFonts w:asciiTheme="minorHAnsi" w:hAnsiTheme="minorHAnsi" w:cstheme="minorHAnsi"/>
                <w:sz w:val="22"/>
                <w:szCs w:val="22"/>
              </w:rPr>
            </w:pPr>
            <w:r>
              <w:rPr>
                <w:rFonts w:asciiTheme="minorHAnsi" w:hAnsiTheme="minorHAnsi" w:cstheme="minorHAnsi"/>
                <w:sz w:val="22"/>
                <w:szCs w:val="22"/>
              </w:rPr>
              <w:t>Uwaga uwzględniona</w:t>
            </w:r>
          </w:p>
          <w:p w14:paraId="4C11C706" w14:textId="77777777" w:rsidR="00534931" w:rsidRDefault="00534931" w:rsidP="00C50A6B">
            <w:pPr>
              <w:rPr>
                <w:rFonts w:asciiTheme="minorHAnsi" w:hAnsiTheme="minorHAnsi" w:cstheme="minorHAnsi"/>
                <w:sz w:val="22"/>
                <w:szCs w:val="22"/>
              </w:rPr>
            </w:pPr>
          </w:p>
          <w:p w14:paraId="76029FE4" w14:textId="57FECD1B" w:rsidR="000864B9" w:rsidRPr="00A06425" w:rsidRDefault="000864B9" w:rsidP="00534931">
            <w:pPr>
              <w:rPr>
                <w:rFonts w:asciiTheme="minorHAnsi" w:hAnsiTheme="minorHAnsi" w:cstheme="minorHAnsi"/>
                <w:sz w:val="22"/>
                <w:szCs w:val="22"/>
              </w:rPr>
            </w:pPr>
          </w:p>
        </w:tc>
      </w:tr>
      <w:tr w:rsidR="000864B9" w:rsidRPr="00A06425" w14:paraId="750CEE9F" w14:textId="77777777" w:rsidTr="00965831">
        <w:tc>
          <w:tcPr>
            <w:tcW w:w="562" w:type="dxa"/>
            <w:shd w:val="clear" w:color="auto" w:fill="auto"/>
          </w:tcPr>
          <w:p w14:paraId="2C3781E9" w14:textId="6F5AF5DB"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12</w:t>
            </w:r>
          </w:p>
        </w:tc>
        <w:tc>
          <w:tcPr>
            <w:tcW w:w="1134" w:type="dxa"/>
            <w:shd w:val="clear" w:color="auto" w:fill="auto"/>
          </w:tcPr>
          <w:p w14:paraId="687F9F75" w14:textId="4B21E550" w:rsidR="000864B9" w:rsidRPr="00CB7F49" w:rsidRDefault="000864B9" w:rsidP="000864B9">
            <w:pPr>
              <w:spacing w:before="60" w:after="60"/>
              <w:rPr>
                <w:rFonts w:asciiTheme="minorHAnsi" w:hAnsiTheme="minorHAnsi" w:cstheme="minorHAnsi"/>
                <w:b/>
                <w:color w:val="FF0000"/>
                <w:sz w:val="22"/>
                <w:szCs w:val="22"/>
              </w:rPr>
            </w:pPr>
            <w:r w:rsidRPr="00CB7F49">
              <w:rPr>
                <w:rFonts w:asciiTheme="minorHAnsi" w:hAnsiTheme="minorHAnsi" w:cstheme="minorHAnsi"/>
                <w:b/>
                <w:sz w:val="22"/>
                <w:szCs w:val="22"/>
              </w:rPr>
              <w:t>RCL</w:t>
            </w:r>
          </w:p>
        </w:tc>
        <w:tc>
          <w:tcPr>
            <w:tcW w:w="1843" w:type="dxa"/>
            <w:shd w:val="clear" w:color="auto" w:fill="auto"/>
          </w:tcPr>
          <w:p w14:paraId="03154737" w14:textId="0AAD2CFD" w:rsidR="000864B9" w:rsidRPr="00A06425" w:rsidRDefault="009E52C3" w:rsidP="000864B9">
            <w:pPr>
              <w:rPr>
                <w:rFonts w:asciiTheme="minorHAnsi" w:hAnsiTheme="minorHAnsi" w:cstheme="minorHAnsi"/>
                <w:sz w:val="22"/>
                <w:szCs w:val="22"/>
              </w:rPr>
            </w:pPr>
            <w:r w:rsidRPr="00471627">
              <w:rPr>
                <w:rFonts w:asciiTheme="minorHAnsi" w:hAnsiTheme="minorHAnsi" w:cstheme="minorHAnsi"/>
                <w:sz w:val="22"/>
                <w:szCs w:val="22"/>
              </w:rPr>
              <w:t>§ 3 i § 4</w:t>
            </w:r>
          </w:p>
        </w:tc>
        <w:tc>
          <w:tcPr>
            <w:tcW w:w="5103" w:type="dxa"/>
            <w:shd w:val="clear" w:color="auto" w:fill="auto"/>
          </w:tcPr>
          <w:p w14:paraId="2399AEF8" w14:textId="790295CD" w:rsidR="000864B9" w:rsidRPr="00471627" w:rsidRDefault="000864B9" w:rsidP="000864B9">
            <w:pPr>
              <w:rPr>
                <w:rFonts w:asciiTheme="minorHAnsi" w:hAnsiTheme="minorHAnsi" w:cstheme="minorHAnsi"/>
                <w:sz w:val="22"/>
                <w:szCs w:val="22"/>
              </w:rPr>
            </w:pPr>
            <w:r w:rsidRPr="00471627">
              <w:rPr>
                <w:rFonts w:asciiTheme="minorHAnsi" w:hAnsiTheme="minorHAnsi" w:cstheme="minorHAnsi"/>
                <w:sz w:val="22"/>
                <w:szCs w:val="22"/>
              </w:rPr>
              <w:t>odnośnie § 3 i § 4 projektu – sposób zredagowania tych przepisów budzi</w:t>
            </w:r>
            <w:r w:rsidR="009E52C3">
              <w:rPr>
                <w:rFonts w:asciiTheme="minorHAnsi" w:hAnsiTheme="minorHAnsi" w:cstheme="minorHAnsi"/>
                <w:sz w:val="22"/>
                <w:szCs w:val="22"/>
              </w:rPr>
              <w:t xml:space="preserve"> </w:t>
            </w:r>
            <w:r w:rsidRPr="00471627">
              <w:rPr>
                <w:rFonts w:asciiTheme="minorHAnsi" w:hAnsiTheme="minorHAnsi" w:cstheme="minorHAnsi"/>
                <w:sz w:val="22"/>
                <w:szCs w:val="22"/>
              </w:rPr>
              <w:t>wątpliwości w zakresie, w jakim przepisy te przewidują, że „Wsparcie może być udzielone</w:t>
            </w:r>
            <w:r>
              <w:rPr>
                <w:rFonts w:asciiTheme="minorHAnsi" w:hAnsiTheme="minorHAnsi" w:cstheme="minorHAnsi"/>
                <w:sz w:val="22"/>
                <w:szCs w:val="22"/>
              </w:rPr>
              <w:t xml:space="preserve"> </w:t>
            </w:r>
            <w:r w:rsidRPr="00471627">
              <w:rPr>
                <w:rFonts w:asciiTheme="minorHAnsi" w:hAnsiTheme="minorHAnsi" w:cstheme="minorHAnsi"/>
                <w:sz w:val="22"/>
                <w:szCs w:val="22"/>
              </w:rPr>
              <w:t>(…)”. Przy takiej redakcji tych przepisów nie sposób wyinterpretować na co udziela się</w:t>
            </w:r>
            <w:r w:rsidR="009E52C3">
              <w:rPr>
                <w:rFonts w:asciiTheme="minorHAnsi" w:hAnsiTheme="minorHAnsi" w:cstheme="minorHAnsi"/>
                <w:sz w:val="22"/>
                <w:szCs w:val="22"/>
              </w:rPr>
              <w:t xml:space="preserve"> </w:t>
            </w:r>
            <w:r w:rsidRPr="00471627">
              <w:rPr>
                <w:rFonts w:asciiTheme="minorHAnsi" w:hAnsiTheme="minorHAnsi" w:cstheme="minorHAnsi"/>
                <w:sz w:val="22"/>
                <w:szCs w:val="22"/>
              </w:rPr>
              <w:t>wsparcia. Uzasadnienie projektowanego aktu także nie zawiera wyjaśnienia tej kwestii.</w:t>
            </w:r>
            <w:r>
              <w:rPr>
                <w:rFonts w:asciiTheme="minorHAnsi" w:hAnsiTheme="minorHAnsi" w:cstheme="minorHAnsi"/>
                <w:sz w:val="22"/>
                <w:szCs w:val="22"/>
              </w:rPr>
              <w:t xml:space="preserve"> </w:t>
            </w:r>
            <w:r w:rsidR="009E52C3">
              <w:rPr>
                <w:rFonts w:asciiTheme="minorHAnsi" w:hAnsiTheme="minorHAnsi" w:cstheme="minorHAnsi"/>
                <w:sz w:val="22"/>
                <w:szCs w:val="22"/>
              </w:rPr>
              <w:t>Z treści przepisu u</w:t>
            </w:r>
            <w:r w:rsidRPr="00471627">
              <w:rPr>
                <w:rFonts w:asciiTheme="minorHAnsi" w:hAnsiTheme="minorHAnsi" w:cstheme="minorHAnsi"/>
                <w:sz w:val="22"/>
                <w:szCs w:val="22"/>
              </w:rPr>
              <w:t>poważniającego wynika, że projektowany akt ma regulować „szczegółowe</w:t>
            </w:r>
            <w:r>
              <w:rPr>
                <w:rFonts w:asciiTheme="minorHAnsi" w:hAnsiTheme="minorHAnsi" w:cstheme="minorHAnsi"/>
                <w:sz w:val="22"/>
                <w:szCs w:val="22"/>
              </w:rPr>
              <w:t xml:space="preserve"> </w:t>
            </w:r>
            <w:r w:rsidRPr="00471627">
              <w:rPr>
                <w:rFonts w:asciiTheme="minorHAnsi" w:hAnsiTheme="minorHAnsi" w:cstheme="minorHAnsi"/>
                <w:sz w:val="22"/>
                <w:szCs w:val="22"/>
              </w:rPr>
              <w:t>przeznaczenie pomocy”. Posłużenie się sformułowaniem „może być udzielone” powoduje</w:t>
            </w:r>
            <w:r>
              <w:rPr>
                <w:rFonts w:asciiTheme="minorHAnsi" w:hAnsiTheme="minorHAnsi" w:cstheme="minorHAnsi"/>
                <w:sz w:val="22"/>
                <w:szCs w:val="22"/>
              </w:rPr>
              <w:t xml:space="preserve"> </w:t>
            </w:r>
            <w:r w:rsidRPr="00471627">
              <w:rPr>
                <w:rFonts w:asciiTheme="minorHAnsi" w:hAnsiTheme="minorHAnsi" w:cstheme="minorHAnsi"/>
                <w:sz w:val="22"/>
                <w:szCs w:val="22"/>
              </w:rPr>
              <w:t>wątpliwości interpretacyjne i może prowadzić do konstatacji, że jest to de facto kolejny</w:t>
            </w:r>
          </w:p>
          <w:p w14:paraId="6259B82F" w14:textId="27C46810" w:rsidR="000864B9" w:rsidRPr="00A06425" w:rsidRDefault="000864B9" w:rsidP="000864B9">
            <w:pPr>
              <w:rPr>
                <w:rFonts w:asciiTheme="minorHAnsi" w:hAnsiTheme="minorHAnsi" w:cstheme="minorHAnsi"/>
                <w:sz w:val="22"/>
                <w:szCs w:val="22"/>
              </w:rPr>
            </w:pPr>
            <w:r w:rsidRPr="00471627">
              <w:rPr>
                <w:rFonts w:asciiTheme="minorHAnsi" w:hAnsiTheme="minorHAnsi" w:cstheme="minorHAnsi"/>
                <w:sz w:val="22"/>
                <w:szCs w:val="22"/>
              </w:rPr>
              <w:t>warunek udzielenia pomocy, a zatem upoważnienie ustawowe w zakresie „szczegółowego</w:t>
            </w:r>
            <w:r>
              <w:rPr>
                <w:rFonts w:asciiTheme="minorHAnsi" w:hAnsiTheme="minorHAnsi" w:cstheme="minorHAnsi"/>
                <w:sz w:val="22"/>
                <w:szCs w:val="22"/>
              </w:rPr>
              <w:t xml:space="preserve"> </w:t>
            </w:r>
            <w:r w:rsidRPr="00471627">
              <w:rPr>
                <w:rFonts w:asciiTheme="minorHAnsi" w:hAnsiTheme="minorHAnsi" w:cstheme="minorHAnsi"/>
                <w:sz w:val="22"/>
                <w:szCs w:val="22"/>
              </w:rPr>
              <w:t>przeznaczenia pomocy” nie zostało wykonane.</w:t>
            </w:r>
          </w:p>
        </w:tc>
        <w:tc>
          <w:tcPr>
            <w:tcW w:w="3260" w:type="dxa"/>
            <w:shd w:val="clear" w:color="auto" w:fill="auto"/>
          </w:tcPr>
          <w:p w14:paraId="26FBCD8D" w14:textId="77777777" w:rsidR="000864B9" w:rsidRPr="00A06425" w:rsidRDefault="000864B9" w:rsidP="000864B9">
            <w:pPr>
              <w:rPr>
                <w:rFonts w:asciiTheme="minorHAnsi" w:hAnsiTheme="minorHAnsi" w:cstheme="minorHAnsi"/>
                <w:sz w:val="22"/>
                <w:szCs w:val="22"/>
              </w:rPr>
            </w:pPr>
          </w:p>
        </w:tc>
        <w:tc>
          <w:tcPr>
            <w:tcW w:w="3260" w:type="dxa"/>
          </w:tcPr>
          <w:p w14:paraId="5B5CBB9C" w14:textId="77777777" w:rsidR="000864B9" w:rsidRDefault="00534931" w:rsidP="00534931">
            <w:pPr>
              <w:rPr>
                <w:rFonts w:asciiTheme="minorHAnsi" w:hAnsiTheme="minorHAnsi" w:cstheme="minorHAnsi"/>
                <w:sz w:val="22"/>
                <w:szCs w:val="22"/>
              </w:rPr>
            </w:pPr>
            <w:r>
              <w:rPr>
                <w:rFonts w:asciiTheme="minorHAnsi" w:hAnsiTheme="minorHAnsi" w:cstheme="minorHAnsi"/>
                <w:sz w:val="22"/>
                <w:szCs w:val="22"/>
              </w:rPr>
              <w:t>Uwaga uwzględniona</w:t>
            </w:r>
          </w:p>
          <w:p w14:paraId="10CE80BA" w14:textId="77777777" w:rsidR="00534931" w:rsidRDefault="00534931" w:rsidP="00534931">
            <w:pPr>
              <w:rPr>
                <w:rFonts w:asciiTheme="minorHAnsi" w:hAnsiTheme="minorHAnsi" w:cstheme="minorHAnsi"/>
                <w:sz w:val="22"/>
                <w:szCs w:val="22"/>
              </w:rPr>
            </w:pPr>
          </w:p>
          <w:p w14:paraId="250968F9" w14:textId="5D2D23D4" w:rsidR="00534931"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Projektowane przepisy przeformułowano.</w:t>
            </w:r>
          </w:p>
        </w:tc>
      </w:tr>
      <w:tr w:rsidR="000864B9" w:rsidRPr="00A06425" w14:paraId="44C4027F" w14:textId="77777777" w:rsidTr="00965831">
        <w:tc>
          <w:tcPr>
            <w:tcW w:w="562" w:type="dxa"/>
            <w:shd w:val="clear" w:color="auto" w:fill="auto"/>
          </w:tcPr>
          <w:p w14:paraId="2F2BAB51" w14:textId="0F96372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13</w:t>
            </w:r>
          </w:p>
        </w:tc>
        <w:tc>
          <w:tcPr>
            <w:tcW w:w="1134" w:type="dxa"/>
            <w:shd w:val="clear" w:color="auto" w:fill="auto"/>
          </w:tcPr>
          <w:p w14:paraId="39580A48" w14:textId="6E670D98"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18F4D6B" w14:textId="37CA43EB" w:rsidR="000864B9" w:rsidRPr="00A06425" w:rsidRDefault="009E52C3" w:rsidP="000864B9">
            <w:pPr>
              <w:rPr>
                <w:rFonts w:asciiTheme="minorHAnsi" w:hAnsiTheme="minorHAnsi" w:cstheme="minorHAnsi"/>
                <w:sz w:val="22"/>
                <w:szCs w:val="22"/>
              </w:rPr>
            </w:pPr>
            <w:r w:rsidRPr="009E52C3">
              <w:rPr>
                <w:rFonts w:asciiTheme="minorHAnsi" w:hAnsiTheme="minorHAnsi" w:cstheme="minorHAnsi"/>
                <w:sz w:val="22"/>
                <w:szCs w:val="22"/>
              </w:rPr>
              <w:t>§ 3 i § 4</w:t>
            </w:r>
          </w:p>
        </w:tc>
        <w:tc>
          <w:tcPr>
            <w:tcW w:w="5103" w:type="dxa"/>
            <w:shd w:val="clear" w:color="auto" w:fill="auto"/>
          </w:tcPr>
          <w:p w14:paraId="085122BD" w14:textId="52D4AD97" w:rsidR="000864B9" w:rsidRPr="000A353E"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Ponadto, z uwagi na tożsamą tematykę § 3 i § 4 projektu rozporządzenia – określenie przeznaczenia wsparcia – proponuje się rezygnację z ich uregulowania w odrębnych</w:t>
            </w:r>
            <w:r w:rsidR="009E52C3">
              <w:rPr>
                <w:rFonts w:asciiTheme="minorHAnsi" w:hAnsiTheme="minorHAnsi" w:cstheme="minorHAnsi"/>
                <w:sz w:val="22"/>
                <w:szCs w:val="22"/>
              </w:rPr>
              <w:t xml:space="preserve"> </w:t>
            </w:r>
            <w:r w:rsidRPr="000A353E">
              <w:rPr>
                <w:rFonts w:asciiTheme="minorHAnsi" w:hAnsiTheme="minorHAnsi" w:cstheme="minorHAnsi"/>
                <w:sz w:val="22"/>
                <w:szCs w:val="22"/>
              </w:rPr>
              <w:t xml:space="preserve">jednostkach redakcyjnych oraz połączenie obecnego § 3 i § 4 ust. 1 w jeden </w:t>
            </w:r>
            <w:r w:rsidRPr="000A353E">
              <w:rPr>
                <w:rFonts w:asciiTheme="minorHAnsi" w:hAnsiTheme="minorHAnsi" w:cstheme="minorHAnsi"/>
                <w:sz w:val="22"/>
                <w:szCs w:val="22"/>
              </w:rPr>
              <w:lastRenderedPageBreak/>
              <w:t>przepis – § 3 ust. 1, który – uwzględniając wprowadzony w § 1 ust. 1 projektu skrót „wsparcie”</w:t>
            </w:r>
            <w:r>
              <w:t xml:space="preserve"> </w:t>
            </w:r>
            <w:r w:rsidRPr="000A353E">
              <w:rPr>
                <w:rFonts w:asciiTheme="minorHAnsi" w:hAnsiTheme="minorHAnsi" w:cstheme="minorHAnsi"/>
                <w:sz w:val="22"/>
                <w:szCs w:val="22"/>
              </w:rPr>
              <w:t>(i osadzenie go w ramach inwestycji C1.1. Krajowego Planu Odbudowy i Zwiększania</w:t>
            </w:r>
            <w:r w:rsidR="009E52C3">
              <w:rPr>
                <w:rFonts w:asciiTheme="minorHAnsi" w:hAnsiTheme="minorHAnsi" w:cstheme="minorHAnsi"/>
                <w:sz w:val="22"/>
                <w:szCs w:val="22"/>
              </w:rPr>
              <w:t xml:space="preserve"> </w:t>
            </w:r>
            <w:r w:rsidRPr="000A353E">
              <w:rPr>
                <w:rFonts w:asciiTheme="minorHAnsi" w:hAnsiTheme="minorHAnsi" w:cstheme="minorHAnsi"/>
                <w:sz w:val="22"/>
                <w:szCs w:val="22"/>
              </w:rPr>
              <w:t>Odporności), mógłby otrzymać następujące brzmienie:</w:t>
            </w:r>
            <w:r w:rsidR="009E52C3">
              <w:rPr>
                <w:rFonts w:asciiTheme="minorHAnsi" w:hAnsiTheme="minorHAnsi" w:cstheme="minorHAnsi"/>
                <w:sz w:val="22"/>
                <w:szCs w:val="22"/>
              </w:rPr>
              <w:t xml:space="preserve"> </w:t>
            </w:r>
            <w:r w:rsidRPr="000A353E">
              <w:rPr>
                <w:rFonts w:asciiTheme="minorHAnsi" w:hAnsiTheme="minorHAnsi" w:cstheme="minorHAnsi"/>
                <w:sz w:val="22"/>
                <w:szCs w:val="22"/>
              </w:rPr>
              <w:t>„§ 3. 1. Wsparcia udziela się na przedsięwzięcia realizowane przez przedsiębiorców</w:t>
            </w:r>
            <w:r>
              <w:rPr>
                <w:rFonts w:asciiTheme="minorHAnsi" w:hAnsiTheme="minorHAnsi" w:cstheme="minorHAnsi"/>
                <w:sz w:val="22"/>
                <w:szCs w:val="22"/>
              </w:rPr>
              <w:t xml:space="preserve"> </w:t>
            </w:r>
            <w:r w:rsidRPr="000A353E">
              <w:rPr>
                <w:rFonts w:asciiTheme="minorHAnsi" w:hAnsiTheme="minorHAnsi" w:cstheme="minorHAnsi"/>
                <w:sz w:val="22"/>
                <w:szCs w:val="22"/>
              </w:rPr>
              <w:t>telekomunikacyjnych na terytorium Rzeczypospolitej Polskiej polegające na budowie sieci</w:t>
            </w:r>
            <w:r>
              <w:rPr>
                <w:rFonts w:asciiTheme="minorHAnsi" w:hAnsiTheme="minorHAnsi" w:cstheme="minorHAnsi"/>
                <w:sz w:val="22"/>
                <w:szCs w:val="22"/>
              </w:rPr>
              <w:t xml:space="preserve"> </w:t>
            </w:r>
            <w:r w:rsidRPr="000A353E">
              <w:rPr>
                <w:rFonts w:asciiTheme="minorHAnsi" w:hAnsiTheme="minorHAnsi" w:cstheme="minorHAnsi"/>
                <w:sz w:val="22"/>
                <w:szCs w:val="22"/>
              </w:rPr>
              <w:t>NGA.”</w:t>
            </w:r>
          </w:p>
          <w:p w14:paraId="7199AC81" w14:textId="2BAE5FD6"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Tym samym dalsza numeracja przepisów wymagałaby stosownej korekty;</w:t>
            </w:r>
          </w:p>
        </w:tc>
        <w:tc>
          <w:tcPr>
            <w:tcW w:w="3260" w:type="dxa"/>
            <w:shd w:val="clear" w:color="auto" w:fill="auto"/>
          </w:tcPr>
          <w:p w14:paraId="2F7BB844" w14:textId="77777777" w:rsidR="000864B9" w:rsidRPr="00A06425" w:rsidRDefault="000864B9" w:rsidP="000864B9">
            <w:pPr>
              <w:rPr>
                <w:rFonts w:asciiTheme="minorHAnsi" w:hAnsiTheme="minorHAnsi" w:cstheme="minorHAnsi"/>
                <w:sz w:val="22"/>
                <w:szCs w:val="22"/>
              </w:rPr>
            </w:pPr>
          </w:p>
        </w:tc>
        <w:tc>
          <w:tcPr>
            <w:tcW w:w="3260" w:type="dxa"/>
          </w:tcPr>
          <w:p w14:paraId="049A2842" w14:textId="77777777" w:rsidR="00534931" w:rsidRDefault="00164E3E" w:rsidP="00534931">
            <w:pPr>
              <w:rPr>
                <w:rFonts w:asciiTheme="minorHAnsi" w:hAnsiTheme="minorHAnsi" w:cstheme="minorHAnsi"/>
                <w:sz w:val="22"/>
                <w:szCs w:val="22"/>
              </w:rPr>
            </w:pPr>
            <w:r>
              <w:rPr>
                <w:rFonts w:asciiTheme="minorHAnsi" w:hAnsiTheme="minorHAnsi" w:cstheme="minorHAnsi"/>
                <w:sz w:val="22"/>
                <w:szCs w:val="22"/>
              </w:rPr>
              <w:t xml:space="preserve">Uwaga </w:t>
            </w:r>
            <w:r w:rsidR="00534931">
              <w:rPr>
                <w:rFonts w:asciiTheme="minorHAnsi" w:hAnsiTheme="minorHAnsi" w:cstheme="minorHAnsi"/>
                <w:sz w:val="22"/>
                <w:szCs w:val="22"/>
              </w:rPr>
              <w:t>uwzględniona</w:t>
            </w:r>
          </w:p>
          <w:p w14:paraId="11B5F229" w14:textId="77777777" w:rsidR="00534931" w:rsidRDefault="00534931" w:rsidP="00534931">
            <w:pPr>
              <w:rPr>
                <w:rFonts w:asciiTheme="minorHAnsi" w:hAnsiTheme="minorHAnsi" w:cstheme="minorHAnsi"/>
                <w:sz w:val="22"/>
                <w:szCs w:val="22"/>
              </w:rPr>
            </w:pPr>
          </w:p>
          <w:p w14:paraId="3858E132" w14:textId="243A5FF8" w:rsidR="000864B9" w:rsidRPr="00A06425" w:rsidRDefault="00534931" w:rsidP="00534931">
            <w:pPr>
              <w:rPr>
                <w:rFonts w:asciiTheme="minorHAnsi" w:hAnsiTheme="minorHAnsi" w:cstheme="minorHAnsi"/>
                <w:sz w:val="22"/>
                <w:szCs w:val="22"/>
              </w:rPr>
            </w:pPr>
            <w:r>
              <w:rPr>
                <w:rFonts w:asciiTheme="minorHAnsi" w:hAnsiTheme="minorHAnsi" w:cstheme="minorHAnsi"/>
                <w:sz w:val="22"/>
                <w:szCs w:val="22"/>
              </w:rPr>
              <w:t xml:space="preserve">Projektowane przepisy przeformułowano (przy czym zamiast pojęcia „wsparcie” </w:t>
            </w:r>
            <w:r>
              <w:rPr>
                <w:rFonts w:asciiTheme="minorHAnsi" w:hAnsiTheme="minorHAnsi" w:cstheme="minorHAnsi"/>
                <w:sz w:val="22"/>
                <w:szCs w:val="22"/>
              </w:rPr>
              <w:lastRenderedPageBreak/>
              <w:t>posłużono się pojęciem „pomoc”, zgodnie z wcześniejszą uwagą RCL).</w:t>
            </w:r>
            <w:r w:rsidR="00164E3E">
              <w:rPr>
                <w:rFonts w:asciiTheme="minorHAnsi" w:hAnsiTheme="minorHAnsi" w:cstheme="minorHAnsi"/>
                <w:sz w:val="22"/>
                <w:szCs w:val="22"/>
              </w:rPr>
              <w:t xml:space="preserve"> </w:t>
            </w:r>
          </w:p>
        </w:tc>
      </w:tr>
      <w:tr w:rsidR="000864B9" w:rsidRPr="00A06425" w14:paraId="69B43573" w14:textId="77777777" w:rsidTr="00965831">
        <w:tc>
          <w:tcPr>
            <w:tcW w:w="562" w:type="dxa"/>
            <w:shd w:val="clear" w:color="auto" w:fill="auto"/>
          </w:tcPr>
          <w:p w14:paraId="3DE43D5A" w14:textId="2907222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14</w:t>
            </w:r>
          </w:p>
        </w:tc>
        <w:tc>
          <w:tcPr>
            <w:tcW w:w="1134" w:type="dxa"/>
            <w:shd w:val="clear" w:color="auto" w:fill="auto"/>
          </w:tcPr>
          <w:p w14:paraId="781283E1" w14:textId="028170C4"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95A34F0" w14:textId="77777777" w:rsidR="000864B9" w:rsidRPr="00A06425" w:rsidRDefault="000864B9" w:rsidP="000864B9">
            <w:pPr>
              <w:rPr>
                <w:rFonts w:asciiTheme="minorHAnsi" w:hAnsiTheme="minorHAnsi" w:cstheme="minorHAnsi"/>
                <w:sz w:val="22"/>
                <w:szCs w:val="22"/>
              </w:rPr>
            </w:pPr>
          </w:p>
        </w:tc>
        <w:tc>
          <w:tcPr>
            <w:tcW w:w="5103" w:type="dxa"/>
            <w:shd w:val="clear" w:color="auto" w:fill="auto"/>
          </w:tcPr>
          <w:p w14:paraId="2AA8157A" w14:textId="16C42978" w:rsidR="000864B9" w:rsidRPr="000A353E"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wątpliwości budzi, czy wskazanie jako kategorii podmiotów, którym udziela się</w:t>
            </w:r>
            <w:r>
              <w:rPr>
                <w:rFonts w:asciiTheme="minorHAnsi" w:hAnsiTheme="minorHAnsi" w:cstheme="minorHAnsi"/>
                <w:sz w:val="22"/>
                <w:szCs w:val="22"/>
              </w:rPr>
              <w:t xml:space="preserve"> </w:t>
            </w:r>
            <w:r w:rsidRPr="000A353E">
              <w:rPr>
                <w:rFonts w:asciiTheme="minorHAnsi" w:hAnsiTheme="minorHAnsi" w:cstheme="minorHAnsi"/>
                <w:sz w:val="22"/>
                <w:szCs w:val="22"/>
              </w:rPr>
              <w:t>pomocy, przedsiębiorców telekomunikacyjnych wpisuje się w przekazane do uregulowania</w:t>
            </w:r>
            <w:r>
              <w:rPr>
                <w:rFonts w:asciiTheme="minorHAnsi" w:hAnsiTheme="minorHAnsi" w:cstheme="minorHAnsi"/>
                <w:sz w:val="22"/>
                <w:szCs w:val="22"/>
              </w:rPr>
              <w:t xml:space="preserve"> </w:t>
            </w:r>
            <w:r w:rsidRPr="000A353E">
              <w:rPr>
                <w:rFonts w:asciiTheme="minorHAnsi" w:hAnsiTheme="minorHAnsi" w:cstheme="minorHAnsi"/>
                <w:sz w:val="22"/>
                <w:szCs w:val="22"/>
              </w:rPr>
              <w:t>aktem wykonawczym określenie „szczegółowego przeznaczenia pomocy” czy „warunków jej</w:t>
            </w:r>
            <w:r>
              <w:rPr>
                <w:rFonts w:asciiTheme="minorHAnsi" w:hAnsiTheme="minorHAnsi" w:cstheme="minorHAnsi"/>
                <w:sz w:val="22"/>
                <w:szCs w:val="22"/>
              </w:rPr>
              <w:t xml:space="preserve"> </w:t>
            </w:r>
            <w:r w:rsidRPr="000A353E">
              <w:rPr>
                <w:rFonts w:asciiTheme="minorHAnsi" w:hAnsiTheme="minorHAnsi" w:cstheme="minorHAnsi"/>
                <w:sz w:val="22"/>
                <w:szCs w:val="22"/>
              </w:rPr>
              <w:t>udzielenia”. Należy odnieść się do kwestii, czy de facto tylko ta kategoria podmiotów</w:t>
            </w:r>
          </w:p>
          <w:p w14:paraId="14ADD21A" w14:textId="0D4CA531"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budować może infrastrukturę szerokopasmową w postaci sieci NGA;</w:t>
            </w:r>
          </w:p>
        </w:tc>
        <w:tc>
          <w:tcPr>
            <w:tcW w:w="3260" w:type="dxa"/>
            <w:shd w:val="clear" w:color="auto" w:fill="auto"/>
          </w:tcPr>
          <w:p w14:paraId="6B61ED1C" w14:textId="77777777" w:rsidR="000864B9" w:rsidRPr="00A06425" w:rsidRDefault="000864B9" w:rsidP="000864B9">
            <w:pPr>
              <w:rPr>
                <w:rFonts w:asciiTheme="minorHAnsi" w:hAnsiTheme="minorHAnsi" w:cstheme="minorHAnsi"/>
                <w:sz w:val="22"/>
                <w:szCs w:val="22"/>
              </w:rPr>
            </w:pPr>
          </w:p>
        </w:tc>
        <w:tc>
          <w:tcPr>
            <w:tcW w:w="3260" w:type="dxa"/>
          </w:tcPr>
          <w:p w14:paraId="30988D8A" w14:textId="77777777" w:rsidR="00534931" w:rsidRDefault="00534931" w:rsidP="00BC7F97">
            <w:pPr>
              <w:rPr>
                <w:rFonts w:asciiTheme="minorHAnsi" w:hAnsiTheme="minorHAnsi" w:cstheme="minorHAnsi"/>
                <w:sz w:val="22"/>
                <w:szCs w:val="22"/>
              </w:rPr>
            </w:pPr>
            <w:r>
              <w:rPr>
                <w:rFonts w:asciiTheme="minorHAnsi" w:hAnsiTheme="minorHAnsi" w:cstheme="minorHAnsi"/>
                <w:sz w:val="22"/>
                <w:szCs w:val="22"/>
              </w:rPr>
              <w:t>Wyjaśnienie:</w:t>
            </w:r>
          </w:p>
          <w:p w14:paraId="6C01D9DA" w14:textId="77777777" w:rsidR="00534931" w:rsidRDefault="00534931" w:rsidP="00BC7F97">
            <w:pPr>
              <w:rPr>
                <w:rFonts w:asciiTheme="minorHAnsi" w:hAnsiTheme="minorHAnsi" w:cstheme="minorHAnsi"/>
                <w:sz w:val="22"/>
                <w:szCs w:val="22"/>
              </w:rPr>
            </w:pPr>
          </w:p>
          <w:p w14:paraId="12E7A40C" w14:textId="30500862" w:rsidR="00BC7F97" w:rsidRPr="00BC7F97" w:rsidRDefault="00534931" w:rsidP="00BC7F97">
            <w:pPr>
              <w:rPr>
                <w:rFonts w:asciiTheme="minorHAnsi" w:hAnsiTheme="minorHAnsi" w:cstheme="minorHAnsi"/>
                <w:sz w:val="22"/>
                <w:szCs w:val="22"/>
              </w:rPr>
            </w:pPr>
            <w:r>
              <w:rPr>
                <w:rFonts w:asciiTheme="minorHAnsi" w:hAnsiTheme="minorHAnsi" w:cstheme="minorHAnsi"/>
                <w:sz w:val="22"/>
                <w:szCs w:val="22"/>
              </w:rPr>
              <w:t>Określenie dopuszczalnej kategorii</w:t>
            </w:r>
            <w:r w:rsidR="000D3C0A">
              <w:rPr>
                <w:rFonts w:asciiTheme="minorHAnsi" w:hAnsiTheme="minorHAnsi" w:cstheme="minorHAnsi"/>
                <w:sz w:val="22"/>
                <w:szCs w:val="22"/>
              </w:rPr>
              <w:t xml:space="preserve"> beneficjentów pomocy publicznej</w:t>
            </w:r>
            <w:r>
              <w:rPr>
                <w:rFonts w:asciiTheme="minorHAnsi" w:hAnsiTheme="minorHAnsi" w:cstheme="minorHAnsi"/>
                <w:sz w:val="22"/>
                <w:szCs w:val="22"/>
              </w:rPr>
              <w:t xml:space="preserve"> udzielanej na podstawie projektowanego rozporządzenia</w:t>
            </w:r>
            <w:r w:rsidR="000D3C0A">
              <w:rPr>
                <w:rFonts w:asciiTheme="minorHAnsi" w:hAnsiTheme="minorHAnsi" w:cstheme="minorHAnsi"/>
                <w:sz w:val="22"/>
                <w:szCs w:val="22"/>
              </w:rPr>
              <w:t xml:space="preserve"> wpisuje się w określenie „szczegółowego przeznaczenia pomocy”</w:t>
            </w:r>
            <w:r>
              <w:rPr>
                <w:rFonts w:asciiTheme="minorHAnsi" w:hAnsiTheme="minorHAnsi" w:cstheme="minorHAnsi"/>
                <w:sz w:val="22"/>
                <w:szCs w:val="22"/>
              </w:rPr>
              <w:t>, wymaganego przez upoważnienie ustawowe</w:t>
            </w:r>
            <w:r w:rsidR="000D3C0A">
              <w:rPr>
                <w:rFonts w:asciiTheme="minorHAnsi" w:hAnsiTheme="minorHAnsi" w:cstheme="minorHAnsi"/>
                <w:sz w:val="22"/>
                <w:szCs w:val="22"/>
              </w:rPr>
              <w:t xml:space="preserve">. </w:t>
            </w:r>
            <w:r w:rsidR="00BC7F97">
              <w:rPr>
                <w:rFonts w:asciiTheme="minorHAnsi" w:hAnsiTheme="minorHAnsi" w:cstheme="minorHAnsi"/>
                <w:sz w:val="22"/>
                <w:szCs w:val="22"/>
              </w:rPr>
              <w:t>Rozporządzenie – jako program pomocowy – musi określać</w:t>
            </w:r>
            <w:r>
              <w:rPr>
                <w:rFonts w:asciiTheme="minorHAnsi" w:hAnsiTheme="minorHAnsi" w:cstheme="minorHAnsi"/>
                <w:sz w:val="22"/>
                <w:szCs w:val="22"/>
              </w:rPr>
              <w:t>,</w:t>
            </w:r>
            <w:r w:rsidR="00BC7F97">
              <w:rPr>
                <w:rFonts w:asciiTheme="minorHAnsi" w:hAnsiTheme="minorHAnsi" w:cstheme="minorHAnsi"/>
                <w:sz w:val="22"/>
                <w:szCs w:val="22"/>
              </w:rPr>
              <w:t xml:space="preserve"> kto może otrzymać pomoc publiczną. </w:t>
            </w:r>
            <w:r w:rsidR="00623238">
              <w:rPr>
                <w:rFonts w:asciiTheme="minorHAnsi" w:hAnsiTheme="minorHAnsi" w:cstheme="minorHAnsi"/>
                <w:sz w:val="22"/>
                <w:szCs w:val="22"/>
              </w:rPr>
              <w:t>Przedsiębiorcy</w:t>
            </w:r>
            <w:r w:rsidR="00C50A6B">
              <w:rPr>
                <w:rFonts w:asciiTheme="minorHAnsi" w:hAnsiTheme="minorHAnsi" w:cstheme="minorHAnsi"/>
                <w:sz w:val="22"/>
                <w:szCs w:val="22"/>
              </w:rPr>
              <w:t xml:space="preserve"> telekomunikacyjni nie są </w:t>
            </w:r>
            <w:r w:rsidR="002557C7">
              <w:rPr>
                <w:rFonts w:asciiTheme="minorHAnsi" w:hAnsiTheme="minorHAnsi" w:cstheme="minorHAnsi"/>
                <w:sz w:val="22"/>
                <w:szCs w:val="22"/>
              </w:rPr>
              <w:t xml:space="preserve">jedynymi podmiotami, które budują sieci szerokopasmowe. Takie projekty są realizowane również </w:t>
            </w:r>
            <w:r>
              <w:rPr>
                <w:rFonts w:asciiTheme="minorHAnsi" w:hAnsiTheme="minorHAnsi" w:cstheme="minorHAnsi"/>
                <w:sz w:val="22"/>
                <w:szCs w:val="22"/>
              </w:rPr>
              <w:t xml:space="preserve">m.in. </w:t>
            </w:r>
            <w:r w:rsidR="002557C7">
              <w:rPr>
                <w:rFonts w:asciiTheme="minorHAnsi" w:hAnsiTheme="minorHAnsi" w:cstheme="minorHAnsi"/>
                <w:sz w:val="22"/>
                <w:szCs w:val="22"/>
              </w:rPr>
              <w:t xml:space="preserve">przez </w:t>
            </w:r>
            <w:r>
              <w:rPr>
                <w:rFonts w:asciiTheme="minorHAnsi" w:hAnsiTheme="minorHAnsi" w:cstheme="minorHAnsi"/>
                <w:sz w:val="22"/>
                <w:szCs w:val="22"/>
              </w:rPr>
              <w:t>jednostki samorządu terytorialnego</w:t>
            </w:r>
            <w:r w:rsidR="002557C7">
              <w:rPr>
                <w:rFonts w:asciiTheme="minorHAnsi" w:hAnsiTheme="minorHAnsi" w:cstheme="minorHAnsi"/>
                <w:sz w:val="22"/>
                <w:szCs w:val="22"/>
              </w:rPr>
              <w:t>. Jednak to p</w:t>
            </w:r>
            <w:r w:rsidR="00BC7F97">
              <w:rPr>
                <w:rFonts w:asciiTheme="minorHAnsi" w:hAnsiTheme="minorHAnsi" w:cstheme="minorHAnsi"/>
                <w:sz w:val="22"/>
                <w:szCs w:val="22"/>
              </w:rPr>
              <w:t>rzedsiębiorcy telekomunikacyjni jako podmioty realizujące przedsięwzięcia zostali wskazani w Krajowym Planie Odbudowy i Zwiększania Odporności</w:t>
            </w:r>
            <w:r>
              <w:rPr>
                <w:rFonts w:asciiTheme="minorHAnsi" w:hAnsiTheme="minorHAnsi" w:cstheme="minorHAnsi"/>
                <w:sz w:val="22"/>
                <w:szCs w:val="22"/>
              </w:rPr>
              <w:t xml:space="preserve"> w opisie inwestycji C1.1.1:</w:t>
            </w:r>
            <w:r w:rsidR="00BC7F97">
              <w:t xml:space="preserve"> „</w:t>
            </w:r>
            <w:r w:rsidR="00BC7F97" w:rsidRPr="00BC7F97">
              <w:rPr>
                <w:rFonts w:asciiTheme="minorHAnsi" w:hAnsiTheme="minorHAnsi" w:cstheme="minorHAnsi"/>
                <w:sz w:val="22"/>
                <w:szCs w:val="22"/>
              </w:rPr>
              <w:t xml:space="preserve">Bezpośrednie wsparcie </w:t>
            </w:r>
            <w:r w:rsidR="00BC7F97" w:rsidRPr="00BC7F97">
              <w:rPr>
                <w:rFonts w:asciiTheme="minorHAnsi" w:hAnsiTheme="minorHAnsi" w:cstheme="minorHAnsi"/>
                <w:sz w:val="22"/>
                <w:szCs w:val="22"/>
              </w:rPr>
              <w:lastRenderedPageBreak/>
              <w:t>skierowane zostanie do: przedsiębiorców</w:t>
            </w:r>
          </w:p>
          <w:p w14:paraId="26D237D2" w14:textId="78EB12B0" w:rsidR="000864B9" w:rsidRPr="00A06425" w:rsidRDefault="00BC7F97" w:rsidP="00BC7F97">
            <w:pPr>
              <w:rPr>
                <w:rFonts w:asciiTheme="minorHAnsi" w:hAnsiTheme="minorHAnsi" w:cstheme="minorHAnsi"/>
                <w:sz w:val="22"/>
                <w:szCs w:val="22"/>
              </w:rPr>
            </w:pPr>
            <w:r w:rsidRPr="00BC7F97">
              <w:rPr>
                <w:rFonts w:asciiTheme="minorHAnsi" w:hAnsiTheme="minorHAnsi" w:cstheme="minorHAnsi"/>
                <w:sz w:val="22"/>
                <w:szCs w:val="22"/>
              </w:rPr>
              <w:t>telekomunikacyjnych, zarówno z sektora MŚP, jak i dużych przedsiębiorców</w:t>
            </w:r>
            <w:r>
              <w:rPr>
                <w:rFonts w:asciiTheme="minorHAnsi" w:hAnsiTheme="minorHAnsi" w:cstheme="minorHAnsi"/>
                <w:sz w:val="22"/>
                <w:szCs w:val="22"/>
              </w:rPr>
              <w:t>”</w:t>
            </w:r>
            <w:r w:rsidR="00534931">
              <w:rPr>
                <w:rFonts w:asciiTheme="minorHAnsi" w:hAnsiTheme="minorHAnsi" w:cstheme="minorHAnsi"/>
                <w:sz w:val="22"/>
                <w:szCs w:val="22"/>
              </w:rPr>
              <w:t xml:space="preserve"> – i stąd katalog beneficjentów w projektowanym rozporządzeniu został ograniczony wyłącznie do tej kategorii podmiotów.</w:t>
            </w:r>
          </w:p>
        </w:tc>
      </w:tr>
      <w:tr w:rsidR="000864B9" w:rsidRPr="00A06425" w14:paraId="5DDF9D11" w14:textId="77777777" w:rsidTr="00965831">
        <w:tc>
          <w:tcPr>
            <w:tcW w:w="562" w:type="dxa"/>
            <w:shd w:val="clear" w:color="auto" w:fill="auto"/>
          </w:tcPr>
          <w:p w14:paraId="1A1F38D9" w14:textId="677AC5C4"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15</w:t>
            </w:r>
          </w:p>
        </w:tc>
        <w:tc>
          <w:tcPr>
            <w:tcW w:w="1134" w:type="dxa"/>
            <w:shd w:val="clear" w:color="auto" w:fill="auto"/>
          </w:tcPr>
          <w:p w14:paraId="3AD4A464" w14:textId="3ACFBC16"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AB355B7" w14:textId="7EC9C8A9" w:rsidR="000864B9" w:rsidRPr="00A06425" w:rsidRDefault="00BC7F97" w:rsidP="000864B9">
            <w:pPr>
              <w:rPr>
                <w:rFonts w:asciiTheme="minorHAnsi" w:hAnsiTheme="minorHAnsi" w:cstheme="minorHAnsi"/>
                <w:sz w:val="22"/>
                <w:szCs w:val="22"/>
              </w:rPr>
            </w:pPr>
            <w:r w:rsidRPr="00BC7F97">
              <w:rPr>
                <w:rFonts w:asciiTheme="minorHAnsi" w:hAnsiTheme="minorHAnsi" w:cstheme="minorHAnsi"/>
                <w:sz w:val="22"/>
                <w:szCs w:val="22"/>
              </w:rPr>
              <w:t>§ 4 ust. 2</w:t>
            </w:r>
          </w:p>
        </w:tc>
        <w:tc>
          <w:tcPr>
            <w:tcW w:w="5103" w:type="dxa"/>
            <w:shd w:val="clear" w:color="auto" w:fill="auto"/>
          </w:tcPr>
          <w:p w14:paraId="78A2F3CB" w14:textId="0A01DD4F" w:rsidR="000864B9" w:rsidRPr="000A353E"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użyte w § 4 ust. 2 projektu rozporządzenia sformułowanie „najprawdopodobniej nie</w:t>
            </w:r>
            <w:r>
              <w:rPr>
                <w:rFonts w:asciiTheme="minorHAnsi" w:hAnsiTheme="minorHAnsi" w:cstheme="minorHAnsi"/>
                <w:sz w:val="22"/>
                <w:szCs w:val="22"/>
              </w:rPr>
              <w:t xml:space="preserve"> </w:t>
            </w:r>
            <w:r w:rsidRPr="000A353E">
              <w:rPr>
                <w:rFonts w:asciiTheme="minorHAnsi" w:hAnsiTheme="minorHAnsi" w:cstheme="minorHAnsi"/>
                <w:sz w:val="22"/>
                <w:szCs w:val="22"/>
              </w:rPr>
              <w:t>powstaną” w nawiązaniu do sieci NGA proponuje się zastąpić (w miarę możliwości)</w:t>
            </w:r>
            <w:r>
              <w:rPr>
                <w:rFonts w:asciiTheme="minorHAnsi" w:hAnsiTheme="minorHAnsi" w:cstheme="minorHAnsi"/>
                <w:sz w:val="22"/>
                <w:szCs w:val="22"/>
              </w:rPr>
              <w:t xml:space="preserve"> </w:t>
            </w:r>
            <w:r w:rsidRPr="000A353E">
              <w:rPr>
                <w:rFonts w:asciiTheme="minorHAnsi" w:hAnsiTheme="minorHAnsi" w:cstheme="minorHAnsi"/>
                <w:sz w:val="22"/>
                <w:szCs w:val="22"/>
              </w:rPr>
              <w:t>odniesieniem się do „planowania” infrastruktury szerokopasmowej umożliwiającej</w:t>
            </w:r>
          </w:p>
          <w:p w14:paraId="1CEC089A" w14:textId="1A8FFC16"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 xml:space="preserve">świadczenie usług dostępu do Internetu o przepustowości co najmniej 100 Mb/s. </w:t>
            </w:r>
          </w:p>
        </w:tc>
        <w:tc>
          <w:tcPr>
            <w:tcW w:w="3260" w:type="dxa"/>
            <w:shd w:val="clear" w:color="auto" w:fill="auto"/>
          </w:tcPr>
          <w:p w14:paraId="181BB464" w14:textId="77777777" w:rsidR="000864B9" w:rsidRPr="000A353E"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Tym samym</w:t>
            </w:r>
          </w:p>
          <w:p w14:paraId="2612BB7D" w14:textId="4B6B9DCF"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przepis mógłby stanowić o „obszarach, na których sieci NGA nie istnieją i nie jest planowane ich powstanie w ciągu trzech lat...”. Proponowana zmiana byłaby spójna z określeniem zawartym w § 4 ust. 3, dotyczącym podstawy do ustalenia listy obszarów bez sieci NGA, w postaci informacji o istniejącej oraz „planowanej” infrastrukturze szerokopasmowej.</w:t>
            </w:r>
          </w:p>
        </w:tc>
        <w:tc>
          <w:tcPr>
            <w:tcW w:w="3260" w:type="dxa"/>
          </w:tcPr>
          <w:p w14:paraId="7329FCAE" w14:textId="6D38D755" w:rsidR="002557C7" w:rsidRDefault="00BC7F97"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38A9B936" w14:textId="77777777" w:rsidR="00534931" w:rsidRDefault="00534931" w:rsidP="000864B9">
            <w:pPr>
              <w:rPr>
                <w:rFonts w:asciiTheme="minorHAnsi" w:hAnsiTheme="minorHAnsi" w:cstheme="minorHAnsi"/>
                <w:sz w:val="22"/>
                <w:szCs w:val="22"/>
              </w:rPr>
            </w:pPr>
          </w:p>
          <w:p w14:paraId="37AF5F16" w14:textId="7EE7D5F6" w:rsidR="000864B9" w:rsidRPr="00A06425" w:rsidRDefault="00534931" w:rsidP="000864B9">
            <w:pPr>
              <w:rPr>
                <w:rFonts w:asciiTheme="minorHAnsi" w:hAnsiTheme="minorHAnsi" w:cstheme="minorHAnsi"/>
                <w:sz w:val="22"/>
                <w:szCs w:val="22"/>
              </w:rPr>
            </w:pPr>
            <w:r>
              <w:rPr>
                <w:rFonts w:asciiTheme="minorHAnsi" w:hAnsiTheme="minorHAnsi" w:cstheme="minorHAnsi"/>
                <w:sz w:val="22"/>
                <w:szCs w:val="22"/>
              </w:rPr>
              <w:t>Projektowany przepis przeformułowano w kierunku zgodnym z uwagą RCL oraz treścią art. 52 ust. 3 lit. b GBER.</w:t>
            </w:r>
            <w:r w:rsidR="002557C7">
              <w:rPr>
                <w:rFonts w:asciiTheme="minorHAnsi" w:hAnsiTheme="minorHAnsi" w:cstheme="minorHAnsi"/>
                <w:sz w:val="22"/>
                <w:szCs w:val="22"/>
              </w:rPr>
              <w:t xml:space="preserve"> </w:t>
            </w:r>
          </w:p>
        </w:tc>
      </w:tr>
      <w:tr w:rsidR="000864B9" w:rsidRPr="00A06425" w14:paraId="7B1868F2" w14:textId="77777777" w:rsidTr="00965831">
        <w:tc>
          <w:tcPr>
            <w:tcW w:w="562" w:type="dxa"/>
            <w:shd w:val="clear" w:color="auto" w:fill="auto"/>
          </w:tcPr>
          <w:p w14:paraId="1145B4F4" w14:textId="30A95261"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16</w:t>
            </w:r>
          </w:p>
        </w:tc>
        <w:tc>
          <w:tcPr>
            <w:tcW w:w="1134" w:type="dxa"/>
            <w:shd w:val="clear" w:color="auto" w:fill="auto"/>
          </w:tcPr>
          <w:p w14:paraId="3A3BBC1F" w14:textId="4E6F6A44"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0ACD60B" w14:textId="75982F6E" w:rsidR="000864B9" w:rsidRPr="00A06425" w:rsidRDefault="00BC7F97" w:rsidP="000864B9">
            <w:pPr>
              <w:rPr>
                <w:rFonts w:asciiTheme="minorHAnsi" w:hAnsiTheme="minorHAnsi" w:cstheme="minorHAnsi"/>
                <w:sz w:val="22"/>
                <w:szCs w:val="22"/>
              </w:rPr>
            </w:pPr>
            <w:r w:rsidRPr="00BC7F97">
              <w:rPr>
                <w:rFonts w:asciiTheme="minorHAnsi" w:hAnsiTheme="minorHAnsi" w:cstheme="minorHAnsi"/>
                <w:sz w:val="22"/>
                <w:szCs w:val="22"/>
              </w:rPr>
              <w:t>§ 4 ust. 2</w:t>
            </w:r>
          </w:p>
        </w:tc>
        <w:tc>
          <w:tcPr>
            <w:tcW w:w="5103" w:type="dxa"/>
            <w:shd w:val="clear" w:color="auto" w:fill="auto"/>
          </w:tcPr>
          <w:p w14:paraId="7E7BBF76" w14:textId="77777777" w:rsidR="000864B9" w:rsidRPr="000A353E"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Dodatkowo podkreślić należy, iż przepis, odnosząc się do 3-letniego okresu, w którym</w:t>
            </w:r>
            <w:r>
              <w:rPr>
                <w:rFonts w:asciiTheme="minorHAnsi" w:hAnsiTheme="minorHAnsi" w:cstheme="minorHAnsi"/>
                <w:sz w:val="22"/>
                <w:szCs w:val="22"/>
              </w:rPr>
              <w:t xml:space="preserve"> </w:t>
            </w:r>
            <w:r w:rsidRPr="000A353E">
              <w:rPr>
                <w:rFonts w:asciiTheme="minorHAnsi" w:hAnsiTheme="minorHAnsi" w:cstheme="minorHAnsi"/>
                <w:sz w:val="22"/>
                <w:szCs w:val="22"/>
              </w:rPr>
              <w:t>nie planuje się powstania sieci NGA, nie określa momentu, od którego należy liczyć bieg tego</w:t>
            </w:r>
            <w:r>
              <w:rPr>
                <w:rFonts w:asciiTheme="minorHAnsi" w:hAnsiTheme="minorHAnsi" w:cstheme="minorHAnsi"/>
                <w:sz w:val="22"/>
                <w:szCs w:val="22"/>
              </w:rPr>
              <w:t xml:space="preserve"> </w:t>
            </w:r>
            <w:r w:rsidRPr="000A353E">
              <w:rPr>
                <w:rFonts w:asciiTheme="minorHAnsi" w:hAnsiTheme="minorHAnsi" w:cstheme="minorHAnsi"/>
                <w:sz w:val="22"/>
                <w:szCs w:val="22"/>
              </w:rPr>
              <w:t>okresu. Obecne brzmienie przepisu sugerować może bowiem, że początkiem biegu tego</w:t>
            </w:r>
            <w:r>
              <w:rPr>
                <w:rFonts w:asciiTheme="minorHAnsi" w:hAnsiTheme="minorHAnsi" w:cstheme="minorHAnsi"/>
                <w:sz w:val="22"/>
                <w:szCs w:val="22"/>
              </w:rPr>
              <w:t xml:space="preserve"> </w:t>
            </w:r>
            <w:r w:rsidRPr="000A353E">
              <w:rPr>
                <w:rFonts w:asciiTheme="minorHAnsi" w:hAnsiTheme="minorHAnsi" w:cstheme="minorHAnsi"/>
                <w:sz w:val="22"/>
                <w:szCs w:val="22"/>
              </w:rPr>
              <w:t>terminu jest dzień wejścia w życie rozporządzenia – wskazać należy, czy taka jest intencja</w:t>
            </w:r>
            <w:r>
              <w:rPr>
                <w:rFonts w:asciiTheme="minorHAnsi" w:hAnsiTheme="minorHAnsi" w:cstheme="minorHAnsi"/>
                <w:sz w:val="22"/>
                <w:szCs w:val="22"/>
              </w:rPr>
              <w:t xml:space="preserve"> </w:t>
            </w:r>
            <w:r w:rsidRPr="000A353E">
              <w:rPr>
                <w:rFonts w:asciiTheme="minorHAnsi" w:hAnsiTheme="minorHAnsi" w:cstheme="minorHAnsi"/>
                <w:sz w:val="22"/>
                <w:szCs w:val="22"/>
              </w:rPr>
              <w:t>Wnioskodawcy. W tej mierze art. 52 ust. 3 lit. b rozporządzenia Komisji (UE) nr 651/2014</w:t>
            </w:r>
          </w:p>
          <w:p w14:paraId="219C233D" w14:textId="45B4FD70"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stanowi o „planowaniu rozwoju sieci w wiarygodny sposób w ciągu trzech lat od daty</w:t>
            </w:r>
            <w:r>
              <w:rPr>
                <w:rFonts w:asciiTheme="minorHAnsi" w:hAnsiTheme="minorHAnsi" w:cstheme="minorHAnsi"/>
                <w:sz w:val="22"/>
                <w:szCs w:val="22"/>
              </w:rPr>
              <w:t xml:space="preserve"> </w:t>
            </w:r>
            <w:r w:rsidRPr="000A353E">
              <w:rPr>
                <w:rFonts w:asciiTheme="minorHAnsi" w:hAnsiTheme="minorHAnsi" w:cstheme="minorHAnsi"/>
                <w:sz w:val="22"/>
                <w:szCs w:val="22"/>
              </w:rPr>
              <w:t>opublikowania planowanego środka pomocy”, co może także oznaczać otwarcie procedury</w:t>
            </w:r>
            <w:r>
              <w:rPr>
                <w:rFonts w:asciiTheme="minorHAnsi" w:hAnsiTheme="minorHAnsi" w:cstheme="minorHAnsi"/>
                <w:sz w:val="22"/>
                <w:szCs w:val="22"/>
              </w:rPr>
              <w:t xml:space="preserve"> wyboru</w:t>
            </w:r>
            <w:r w:rsidRPr="000A353E">
              <w:rPr>
                <w:rFonts w:asciiTheme="minorHAnsi" w:hAnsiTheme="minorHAnsi" w:cstheme="minorHAnsi"/>
                <w:sz w:val="22"/>
                <w:szCs w:val="22"/>
              </w:rPr>
              <w:t>;</w:t>
            </w:r>
          </w:p>
        </w:tc>
        <w:tc>
          <w:tcPr>
            <w:tcW w:w="3260" w:type="dxa"/>
            <w:shd w:val="clear" w:color="auto" w:fill="auto"/>
          </w:tcPr>
          <w:p w14:paraId="7E009A52" w14:textId="77777777" w:rsidR="000864B9" w:rsidRPr="00A06425" w:rsidRDefault="000864B9" w:rsidP="000864B9">
            <w:pPr>
              <w:rPr>
                <w:rFonts w:asciiTheme="minorHAnsi" w:hAnsiTheme="minorHAnsi" w:cstheme="minorHAnsi"/>
                <w:sz w:val="22"/>
                <w:szCs w:val="22"/>
              </w:rPr>
            </w:pPr>
          </w:p>
        </w:tc>
        <w:tc>
          <w:tcPr>
            <w:tcW w:w="3260" w:type="dxa"/>
          </w:tcPr>
          <w:p w14:paraId="200D8848" w14:textId="77777777" w:rsidR="000864B9" w:rsidRDefault="00BC7F97" w:rsidP="00D43B75">
            <w:pPr>
              <w:rPr>
                <w:rFonts w:asciiTheme="minorHAnsi" w:hAnsiTheme="minorHAnsi" w:cstheme="minorHAnsi"/>
                <w:sz w:val="22"/>
                <w:szCs w:val="22"/>
              </w:rPr>
            </w:pPr>
            <w:r>
              <w:rPr>
                <w:rFonts w:asciiTheme="minorHAnsi" w:hAnsiTheme="minorHAnsi" w:cstheme="minorHAnsi"/>
                <w:sz w:val="22"/>
                <w:szCs w:val="22"/>
              </w:rPr>
              <w:t xml:space="preserve">Uwaga </w:t>
            </w:r>
            <w:r w:rsidR="00D43B75">
              <w:rPr>
                <w:rFonts w:asciiTheme="minorHAnsi" w:hAnsiTheme="minorHAnsi" w:cstheme="minorHAnsi"/>
                <w:sz w:val="22"/>
                <w:szCs w:val="22"/>
              </w:rPr>
              <w:t>nieuwzględniona</w:t>
            </w:r>
          </w:p>
          <w:p w14:paraId="12E69FA0" w14:textId="77777777" w:rsidR="00D43B75" w:rsidRDefault="00D43B75" w:rsidP="00D43B75">
            <w:pPr>
              <w:rPr>
                <w:rFonts w:asciiTheme="minorHAnsi" w:hAnsiTheme="minorHAnsi" w:cstheme="minorHAnsi"/>
                <w:sz w:val="22"/>
                <w:szCs w:val="22"/>
              </w:rPr>
            </w:pPr>
          </w:p>
          <w:p w14:paraId="782D40B5" w14:textId="1198994C" w:rsidR="00D43B75" w:rsidRPr="00A06425" w:rsidRDefault="00D43B75" w:rsidP="00D43B75">
            <w:pPr>
              <w:rPr>
                <w:rFonts w:asciiTheme="minorHAnsi" w:hAnsiTheme="minorHAnsi" w:cstheme="minorHAnsi"/>
                <w:sz w:val="22"/>
                <w:szCs w:val="22"/>
              </w:rPr>
            </w:pPr>
            <w:r>
              <w:rPr>
                <w:rFonts w:asciiTheme="minorHAnsi" w:hAnsiTheme="minorHAnsi" w:cstheme="minorHAnsi"/>
                <w:sz w:val="22"/>
                <w:szCs w:val="22"/>
              </w:rPr>
              <w:t xml:space="preserve">W dotychczasowej praktyce stosowania przepisów GBER w zakresie wyznaczania obszarów docelowych wsparcia (praktyka związana z wdrażaniem I osi priorytetowej Programu Operacyjnego Polska Cyfrowa, dla której obowiązuje podobne do projektowanego rozporządzenie Ministra Administracji i Cyfryzacji z dnia 16 września 2015 r. w sprawie udzielania pomocy na rozwój infrastruktury </w:t>
            </w:r>
            <w:r>
              <w:rPr>
                <w:rFonts w:asciiTheme="minorHAnsi" w:hAnsiTheme="minorHAnsi" w:cstheme="minorHAnsi"/>
                <w:sz w:val="22"/>
                <w:szCs w:val="22"/>
              </w:rPr>
              <w:lastRenderedPageBreak/>
              <w:t>szerokopasmowej w ramach Programu Operacyjnego Polska Cyfrowa) okres 3 lat liczony był od momentu ogłoszenia konsultacji społecznych, o których mowa w różnych jednostkach redakcyjnych art. 52 GBER. Niemniej, przez środek pomocy, o którym mowa w art. 52 ust. 3 lit. b GBER, może być rozumiane również samo projektowane rozporządzenie, jak i otwarcie procedury wyboru, o czym mowa w uwadze. Z tego względu w projektowanych przepisach proponuje się nie rozstrzygać, od którego momentu należy liczyć 3-letni okres odniesienia dla komercyjnych planów inwestycyjnych. Niemniej, w ramach planowanego wykonania przepisów projektowanego rozporządzenia przyjęcie każdej z ww. interpretacji „środka pomocy” będzie neutralne dla biegu 3-letniego okresu odniesienia, bowiem zarówno przyjęcie projektowanego rozporządzenia, ogłoszenie konsultacji społecznych oraz ogłoszenie konkurencyjnej procedury wyboru nastąpi w tym samym roku, a 3-letni okres odniesienia obejmuje kolejne 3 pełne lata kalendarzowe.</w:t>
            </w:r>
          </w:p>
        </w:tc>
      </w:tr>
      <w:tr w:rsidR="000864B9" w:rsidRPr="00A06425" w14:paraId="5DC74415" w14:textId="77777777" w:rsidTr="00965831">
        <w:tc>
          <w:tcPr>
            <w:tcW w:w="562" w:type="dxa"/>
            <w:shd w:val="clear" w:color="auto" w:fill="auto"/>
          </w:tcPr>
          <w:p w14:paraId="29847094" w14:textId="4231FDE9"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17</w:t>
            </w:r>
          </w:p>
        </w:tc>
        <w:tc>
          <w:tcPr>
            <w:tcW w:w="1134" w:type="dxa"/>
            <w:shd w:val="clear" w:color="auto" w:fill="auto"/>
          </w:tcPr>
          <w:p w14:paraId="58DFA71F" w14:textId="234C8E1E"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171B236F" w14:textId="4C4E570E" w:rsidR="000864B9" w:rsidRPr="00A06425" w:rsidRDefault="00ED0F67" w:rsidP="000864B9">
            <w:pPr>
              <w:rPr>
                <w:rFonts w:asciiTheme="minorHAnsi" w:hAnsiTheme="minorHAnsi" w:cstheme="minorHAnsi"/>
                <w:sz w:val="22"/>
                <w:szCs w:val="22"/>
              </w:rPr>
            </w:pPr>
            <w:r w:rsidRPr="000A353E">
              <w:rPr>
                <w:rFonts w:asciiTheme="minorHAnsi" w:hAnsiTheme="minorHAnsi" w:cstheme="minorHAnsi"/>
                <w:sz w:val="22"/>
                <w:szCs w:val="22"/>
              </w:rPr>
              <w:t>ust. 3 w § 4</w:t>
            </w:r>
          </w:p>
        </w:tc>
        <w:tc>
          <w:tcPr>
            <w:tcW w:w="5103" w:type="dxa"/>
            <w:shd w:val="clear" w:color="auto" w:fill="auto"/>
          </w:tcPr>
          <w:p w14:paraId="2796AC96" w14:textId="506E5AC4"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t>ust. 3 w § 4 projektu zawiera regulację dotyczącą „ustalania” listy obszarów czy</w:t>
            </w:r>
            <w:r>
              <w:rPr>
                <w:rFonts w:asciiTheme="minorHAnsi" w:hAnsiTheme="minorHAnsi" w:cstheme="minorHAnsi"/>
                <w:sz w:val="22"/>
                <w:szCs w:val="22"/>
              </w:rPr>
              <w:t xml:space="preserve"> </w:t>
            </w:r>
            <w:r w:rsidRPr="000A353E">
              <w:rPr>
                <w:rFonts w:asciiTheme="minorHAnsi" w:hAnsiTheme="minorHAnsi" w:cstheme="minorHAnsi"/>
                <w:sz w:val="22"/>
                <w:szCs w:val="22"/>
              </w:rPr>
              <w:t xml:space="preserve">podstawy takiej listy, czyli informacji o istniejącej oraz planowanej </w:t>
            </w:r>
            <w:r w:rsidRPr="000A353E">
              <w:rPr>
                <w:rFonts w:asciiTheme="minorHAnsi" w:hAnsiTheme="minorHAnsi" w:cstheme="minorHAnsi"/>
                <w:sz w:val="22"/>
                <w:szCs w:val="22"/>
              </w:rPr>
              <w:lastRenderedPageBreak/>
              <w:t>infrastrukturze</w:t>
            </w:r>
            <w:r>
              <w:rPr>
                <w:rFonts w:asciiTheme="minorHAnsi" w:hAnsiTheme="minorHAnsi" w:cstheme="minorHAnsi"/>
                <w:sz w:val="22"/>
                <w:szCs w:val="22"/>
              </w:rPr>
              <w:t xml:space="preserve"> </w:t>
            </w:r>
            <w:r w:rsidRPr="000A353E">
              <w:rPr>
                <w:rFonts w:asciiTheme="minorHAnsi" w:hAnsiTheme="minorHAnsi" w:cstheme="minorHAnsi"/>
                <w:sz w:val="22"/>
                <w:szCs w:val="22"/>
              </w:rPr>
              <w:t>szerokopasmowej umożliwiającej świadczenie usług o przepustowości określonej w § 2 pkt 1.</w:t>
            </w:r>
            <w:r>
              <w:rPr>
                <w:rFonts w:asciiTheme="minorHAnsi" w:hAnsiTheme="minorHAnsi" w:cstheme="minorHAnsi"/>
                <w:sz w:val="22"/>
                <w:szCs w:val="22"/>
              </w:rPr>
              <w:t xml:space="preserve"> </w:t>
            </w:r>
            <w:r w:rsidRPr="000A353E">
              <w:rPr>
                <w:rFonts w:asciiTheme="minorHAnsi" w:hAnsiTheme="minorHAnsi" w:cstheme="minorHAnsi"/>
                <w:sz w:val="22"/>
                <w:szCs w:val="22"/>
              </w:rPr>
              <w:t>Zarówno w przypadku listy i informacji nie wskazano jednak podmiotu odpowiedzialnego za</w:t>
            </w:r>
            <w:r>
              <w:rPr>
                <w:rFonts w:asciiTheme="minorHAnsi" w:hAnsiTheme="minorHAnsi" w:cstheme="minorHAnsi"/>
                <w:sz w:val="22"/>
                <w:szCs w:val="22"/>
              </w:rPr>
              <w:t xml:space="preserve"> </w:t>
            </w:r>
            <w:r w:rsidRPr="000A353E">
              <w:rPr>
                <w:rFonts w:asciiTheme="minorHAnsi" w:hAnsiTheme="minorHAnsi" w:cstheme="minorHAnsi"/>
                <w:sz w:val="22"/>
                <w:szCs w:val="22"/>
              </w:rPr>
              <w:t xml:space="preserve">ich sporządzenia/ustalenie. </w:t>
            </w:r>
          </w:p>
          <w:p w14:paraId="072B24A2" w14:textId="0EFAF5D7" w:rsidR="000864B9" w:rsidRPr="00A06425" w:rsidRDefault="000864B9" w:rsidP="000864B9">
            <w:pPr>
              <w:rPr>
                <w:rFonts w:asciiTheme="minorHAnsi" w:hAnsiTheme="minorHAnsi" w:cstheme="minorHAnsi"/>
                <w:sz w:val="22"/>
                <w:szCs w:val="22"/>
              </w:rPr>
            </w:pPr>
          </w:p>
        </w:tc>
        <w:tc>
          <w:tcPr>
            <w:tcW w:w="3260" w:type="dxa"/>
            <w:shd w:val="clear" w:color="auto" w:fill="auto"/>
          </w:tcPr>
          <w:p w14:paraId="1D28FD05" w14:textId="4B996917" w:rsidR="000864B9" w:rsidRPr="00A06425" w:rsidRDefault="000864B9" w:rsidP="000864B9">
            <w:pPr>
              <w:rPr>
                <w:rFonts w:asciiTheme="minorHAnsi" w:hAnsiTheme="minorHAnsi" w:cstheme="minorHAnsi"/>
                <w:sz w:val="22"/>
                <w:szCs w:val="22"/>
              </w:rPr>
            </w:pPr>
            <w:r w:rsidRPr="000A353E">
              <w:rPr>
                <w:rFonts w:asciiTheme="minorHAnsi" w:hAnsiTheme="minorHAnsi" w:cstheme="minorHAnsi"/>
                <w:sz w:val="22"/>
                <w:szCs w:val="22"/>
              </w:rPr>
              <w:lastRenderedPageBreak/>
              <w:t>Wobec powyższego przepis należy uzupełnić o powyższe kwestie</w:t>
            </w:r>
            <w:r>
              <w:rPr>
                <w:rFonts w:asciiTheme="minorHAnsi" w:hAnsiTheme="minorHAnsi" w:cstheme="minorHAnsi"/>
                <w:sz w:val="22"/>
                <w:szCs w:val="22"/>
              </w:rPr>
              <w:t xml:space="preserve"> </w:t>
            </w:r>
            <w:r w:rsidRPr="000A353E">
              <w:rPr>
                <w:rFonts w:asciiTheme="minorHAnsi" w:hAnsiTheme="minorHAnsi" w:cstheme="minorHAnsi"/>
                <w:sz w:val="22"/>
                <w:szCs w:val="22"/>
              </w:rPr>
              <w:t xml:space="preserve">albo wyjaśnić zasadność </w:t>
            </w:r>
            <w:r w:rsidRPr="000A353E">
              <w:rPr>
                <w:rFonts w:asciiTheme="minorHAnsi" w:hAnsiTheme="minorHAnsi" w:cstheme="minorHAnsi"/>
                <w:sz w:val="22"/>
                <w:szCs w:val="22"/>
              </w:rPr>
              <w:lastRenderedPageBreak/>
              <w:t>takiego pominięcia (nie jest bowiem jasne, czy Wnioskodawca, wskazując na podmiot udzielający wsparcia uznał, iż jest on właściwy we wszystkich sprawach prowadzących finalnie do jego udzielenia);</w:t>
            </w:r>
          </w:p>
        </w:tc>
        <w:tc>
          <w:tcPr>
            <w:tcW w:w="3260" w:type="dxa"/>
          </w:tcPr>
          <w:p w14:paraId="76367AD8" w14:textId="41AA34CC" w:rsidR="00534931" w:rsidRDefault="00534931" w:rsidP="000864B9">
            <w:pPr>
              <w:rPr>
                <w:rFonts w:asciiTheme="minorHAnsi" w:hAnsiTheme="minorHAnsi" w:cstheme="minorHAnsi"/>
                <w:sz w:val="22"/>
                <w:szCs w:val="22"/>
              </w:rPr>
            </w:pPr>
            <w:r>
              <w:rPr>
                <w:rFonts w:asciiTheme="minorHAnsi" w:hAnsiTheme="minorHAnsi" w:cstheme="minorHAnsi"/>
                <w:sz w:val="22"/>
                <w:szCs w:val="22"/>
              </w:rPr>
              <w:lastRenderedPageBreak/>
              <w:t>Uwaga nieuwzględniona</w:t>
            </w:r>
          </w:p>
          <w:p w14:paraId="45340AD1" w14:textId="77777777" w:rsidR="00534931" w:rsidRDefault="00534931" w:rsidP="000864B9">
            <w:pPr>
              <w:rPr>
                <w:rFonts w:asciiTheme="minorHAnsi" w:hAnsiTheme="minorHAnsi" w:cstheme="minorHAnsi"/>
                <w:sz w:val="22"/>
                <w:szCs w:val="22"/>
              </w:rPr>
            </w:pPr>
          </w:p>
          <w:p w14:paraId="487F7C10" w14:textId="4575C81E" w:rsidR="000864B9" w:rsidRPr="00A06425" w:rsidRDefault="00534931" w:rsidP="00534931">
            <w:pPr>
              <w:rPr>
                <w:rFonts w:asciiTheme="minorHAnsi" w:hAnsiTheme="minorHAnsi" w:cstheme="minorHAnsi"/>
                <w:sz w:val="22"/>
                <w:szCs w:val="22"/>
              </w:rPr>
            </w:pPr>
            <w:r>
              <w:rPr>
                <w:rFonts w:asciiTheme="minorHAnsi" w:hAnsiTheme="minorHAnsi" w:cstheme="minorHAnsi"/>
                <w:sz w:val="22"/>
                <w:szCs w:val="22"/>
              </w:rPr>
              <w:lastRenderedPageBreak/>
              <w:t>W opinii projektodawcy n</w:t>
            </w:r>
            <w:r w:rsidR="00ED0F67">
              <w:rPr>
                <w:rFonts w:asciiTheme="minorHAnsi" w:hAnsiTheme="minorHAnsi" w:cstheme="minorHAnsi"/>
                <w:sz w:val="22"/>
                <w:szCs w:val="22"/>
              </w:rPr>
              <w:t>ie jest zasadne jednoznaczne wskazywanie podmiotu odpowiedzialnego za ustalenie listy obszarów, na których mogą być realizowane przedsięwzięcia</w:t>
            </w:r>
            <w:r>
              <w:rPr>
                <w:rFonts w:asciiTheme="minorHAnsi" w:hAnsiTheme="minorHAnsi" w:cstheme="minorHAnsi"/>
                <w:sz w:val="22"/>
                <w:szCs w:val="22"/>
              </w:rPr>
              <w:t xml:space="preserve"> objęte pomocą udzielaną na podstawie projektowanego rozporządzenia</w:t>
            </w:r>
            <w:r w:rsidR="00ED0F67">
              <w:rPr>
                <w:rFonts w:asciiTheme="minorHAnsi" w:hAnsiTheme="minorHAnsi" w:cstheme="minorHAnsi"/>
                <w:sz w:val="22"/>
                <w:szCs w:val="22"/>
              </w:rPr>
              <w:t>. Źródła informacji na temat istniejącej i planowanej infrastruktury są różn</w:t>
            </w:r>
            <w:r>
              <w:rPr>
                <w:rFonts w:asciiTheme="minorHAnsi" w:hAnsiTheme="minorHAnsi" w:cstheme="minorHAnsi"/>
                <w:sz w:val="22"/>
                <w:szCs w:val="22"/>
              </w:rPr>
              <w:t>orodne, n</w:t>
            </w:r>
            <w:r w:rsidR="00ED0F67">
              <w:rPr>
                <w:rFonts w:asciiTheme="minorHAnsi" w:hAnsiTheme="minorHAnsi" w:cstheme="minorHAnsi"/>
                <w:sz w:val="22"/>
                <w:szCs w:val="22"/>
              </w:rPr>
              <w:t xml:space="preserve">ie jest możliwe wymienienie </w:t>
            </w:r>
            <w:r>
              <w:rPr>
                <w:rFonts w:asciiTheme="minorHAnsi" w:hAnsiTheme="minorHAnsi" w:cstheme="minorHAnsi"/>
                <w:sz w:val="22"/>
                <w:szCs w:val="22"/>
              </w:rPr>
              <w:t>ich wszystkich, w związku z czym nie jest również możliwe wymienienie wszystkich podmiotów uczestniczących w procesie ustalania listy obszarów, na których mogą być realizowane przedsięwzięcia.</w:t>
            </w:r>
          </w:p>
        </w:tc>
      </w:tr>
      <w:tr w:rsidR="000864B9" w:rsidRPr="00A06425" w14:paraId="566925FC" w14:textId="77777777" w:rsidTr="00965831">
        <w:tc>
          <w:tcPr>
            <w:tcW w:w="562" w:type="dxa"/>
            <w:shd w:val="clear" w:color="auto" w:fill="auto"/>
          </w:tcPr>
          <w:p w14:paraId="00F2B1E0" w14:textId="2313AF2D"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18</w:t>
            </w:r>
          </w:p>
        </w:tc>
        <w:tc>
          <w:tcPr>
            <w:tcW w:w="1134" w:type="dxa"/>
            <w:shd w:val="clear" w:color="auto" w:fill="auto"/>
          </w:tcPr>
          <w:p w14:paraId="799E96DE" w14:textId="4AF4DF74"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40EC134" w14:textId="47505341" w:rsidR="000864B9" w:rsidRPr="00A06425" w:rsidRDefault="00ED0F67" w:rsidP="000864B9">
            <w:pPr>
              <w:rPr>
                <w:rFonts w:asciiTheme="minorHAnsi" w:hAnsiTheme="minorHAnsi" w:cstheme="minorHAnsi"/>
                <w:sz w:val="22"/>
                <w:szCs w:val="22"/>
              </w:rPr>
            </w:pPr>
            <w:r w:rsidRPr="00BA7A11">
              <w:rPr>
                <w:rFonts w:asciiTheme="minorHAnsi" w:hAnsiTheme="minorHAnsi" w:cstheme="minorHAnsi"/>
                <w:sz w:val="22"/>
                <w:szCs w:val="22"/>
              </w:rPr>
              <w:t>§ 4 ust. 4</w:t>
            </w:r>
          </w:p>
        </w:tc>
        <w:tc>
          <w:tcPr>
            <w:tcW w:w="5103" w:type="dxa"/>
            <w:shd w:val="clear" w:color="auto" w:fill="auto"/>
          </w:tcPr>
          <w:p w14:paraId="5516C553" w14:textId="23663B6E" w:rsidR="000864B9" w:rsidRPr="00A06425" w:rsidRDefault="000864B9" w:rsidP="00965831">
            <w:pPr>
              <w:rPr>
                <w:rFonts w:asciiTheme="minorHAnsi" w:hAnsiTheme="minorHAnsi" w:cstheme="minorHAnsi"/>
                <w:sz w:val="22"/>
                <w:szCs w:val="22"/>
              </w:rPr>
            </w:pPr>
            <w:r w:rsidRPr="00BA7A11">
              <w:rPr>
                <w:rFonts w:asciiTheme="minorHAnsi" w:hAnsiTheme="minorHAnsi" w:cstheme="minorHAnsi"/>
                <w:sz w:val="22"/>
                <w:szCs w:val="22"/>
              </w:rPr>
              <w:t>odnosząc się do brzmienia § 4 ust. 4 projektu rozporządzenia, zauważyć należy, iż</w:t>
            </w:r>
            <w:r>
              <w:rPr>
                <w:rFonts w:asciiTheme="minorHAnsi" w:hAnsiTheme="minorHAnsi" w:cstheme="minorHAnsi"/>
                <w:sz w:val="22"/>
                <w:szCs w:val="22"/>
              </w:rPr>
              <w:t xml:space="preserve"> ust. 2 sta</w:t>
            </w:r>
            <w:r w:rsidRPr="00BA7A11">
              <w:rPr>
                <w:rFonts w:asciiTheme="minorHAnsi" w:hAnsiTheme="minorHAnsi" w:cstheme="minorHAnsi"/>
                <w:sz w:val="22"/>
                <w:szCs w:val="22"/>
              </w:rPr>
              <w:t>nowi o podstawie objęcia wsparciem przedsięwzięcia realizowanego na obszarach,</w:t>
            </w:r>
            <w:r>
              <w:rPr>
                <w:rFonts w:asciiTheme="minorHAnsi" w:hAnsiTheme="minorHAnsi" w:cstheme="minorHAnsi"/>
                <w:sz w:val="22"/>
                <w:szCs w:val="22"/>
              </w:rPr>
              <w:t xml:space="preserve"> </w:t>
            </w:r>
            <w:r w:rsidRPr="00BA7A11">
              <w:rPr>
                <w:rFonts w:asciiTheme="minorHAnsi" w:hAnsiTheme="minorHAnsi" w:cstheme="minorHAnsi"/>
                <w:sz w:val="22"/>
                <w:szCs w:val="22"/>
              </w:rPr>
              <w:t>na których nie ma sieci NGA i najprawdopodobniej nie powstaną one w określonym czasie</w:t>
            </w:r>
            <w:r>
              <w:rPr>
                <w:rFonts w:asciiTheme="minorHAnsi" w:hAnsiTheme="minorHAnsi" w:cstheme="minorHAnsi"/>
                <w:sz w:val="22"/>
                <w:szCs w:val="22"/>
              </w:rPr>
              <w:t xml:space="preserve"> </w:t>
            </w:r>
            <w:r w:rsidRPr="00BA7A11">
              <w:rPr>
                <w:rFonts w:asciiTheme="minorHAnsi" w:hAnsiTheme="minorHAnsi" w:cstheme="minorHAnsi"/>
                <w:sz w:val="22"/>
                <w:szCs w:val="22"/>
              </w:rPr>
              <w:t>(planowanie infrastruktury). Przepis ust. 4 stanowi natomiast o „realizacji” planowanej</w:t>
            </w:r>
            <w:r>
              <w:rPr>
                <w:rFonts w:asciiTheme="minorHAnsi" w:hAnsiTheme="minorHAnsi" w:cstheme="minorHAnsi"/>
                <w:sz w:val="22"/>
                <w:szCs w:val="22"/>
              </w:rPr>
              <w:t xml:space="preserve"> </w:t>
            </w:r>
            <w:r w:rsidRPr="00BA7A11">
              <w:rPr>
                <w:rFonts w:asciiTheme="minorHAnsi" w:hAnsiTheme="minorHAnsi" w:cstheme="minorHAnsi"/>
                <w:sz w:val="22"/>
                <w:szCs w:val="22"/>
              </w:rPr>
              <w:t>infrastruktury, wobec powyższego niejasne pozostaje, co Wnioskodawca rozumie pod</w:t>
            </w:r>
            <w:r>
              <w:rPr>
                <w:rFonts w:asciiTheme="minorHAnsi" w:hAnsiTheme="minorHAnsi" w:cstheme="minorHAnsi"/>
                <w:sz w:val="22"/>
                <w:szCs w:val="22"/>
              </w:rPr>
              <w:t xml:space="preserve"> </w:t>
            </w:r>
            <w:r w:rsidRPr="00BA7A11">
              <w:rPr>
                <w:rFonts w:asciiTheme="minorHAnsi" w:hAnsiTheme="minorHAnsi" w:cstheme="minorHAnsi"/>
                <w:sz w:val="22"/>
                <w:szCs w:val="22"/>
              </w:rPr>
              <w:t>pojęciem „planowania” i „realizowania” infrastruktury – czy są to prace przygotowawcze,</w:t>
            </w:r>
            <w:r>
              <w:rPr>
                <w:rFonts w:asciiTheme="minorHAnsi" w:hAnsiTheme="minorHAnsi" w:cstheme="minorHAnsi"/>
                <w:sz w:val="22"/>
                <w:szCs w:val="22"/>
              </w:rPr>
              <w:t xml:space="preserve"> </w:t>
            </w:r>
            <w:r w:rsidRPr="00BA7A11">
              <w:rPr>
                <w:rFonts w:asciiTheme="minorHAnsi" w:hAnsiTheme="minorHAnsi" w:cstheme="minorHAnsi"/>
                <w:sz w:val="22"/>
                <w:szCs w:val="22"/>
              </w:rPr>
              <w:t>realizacja inwestycji związanych z budową takiej infrastruktury (planowanie zrównane</w:t>
            </w:r>
            <w:r>
              <w:rPr>
                <w:rFonts w:asciiTheme="minorHAnsi" w:hAnsiTheme="minorHAnsi" w:cstheme="minorHAnsi"/>
                <w:sz w:val="22"/>
                <w:szCs w:val="22"/>
              </w:rPr>
              <w:t xml:space="preserve"> </w:t>
            </w:r>
            <w:r w:rsidRPr="00BA7A11">
              <w:rPr>
                <w:rFonts w:asciiTheme="minorHAnsi" w:hAnsiTheme="minorHAnsi" w:cstheme="minorHAnsi"/>
                <w:sz w:val="22"/>
                <w:szCs w:val="22"/>
              </w:rPr>
              <w:t>z realizowaniem takiej infrastruktury) – co rzutować będzie na proponowane brzmienie</w:t>
            </w:r>
            <w:r>
              <w:rPr>
                <w:rFonts w:asciiTheme="minorHAnsi" w:hAnsiTheme="minorHAnsi" w:cstheme="minorHAnsi"/>
                <w:sz w:val="22"/>
                <w:szCs w:val="22"/>
              </w:rPr>
              <w:t xml:space="preserve"> </w:t>
            </w:r>
            <w:r w:rsidRPr="00BA7A11">
              <w:rPr>
                <w:rFonts w:asciiTheme="minorHAnsi" w:hAnsiTheme="minorHAnsi" w:cstheme="minorHAnsi"/>
                <w:sz w:val="22"/>
                <w:szCs w:val="22"/>
              </w:rPr>
              <w:t xml:space="preserve">przepisu. </w:t>
            </w:r>
          </w:p>
        </w:tc>
        <w:tc>
          <w:tcPr>
            <w:tcW w:w="3260" w:type="dxa"/>
            <w:shd w:val="clear" w:color="auto" w:fill="auto"/>
          </w:tcPr>
          <w:p w14:paraId="659CEE65" w14:textId="77777777" w:rsidR="000864B9" w:rsidRPr="00A06425" w:rsidRDefault="000864B9" w:rsidP="000864B9">
            <w:pPr>
              <w:rPr>
                <w:rFonts w:asciiTheme="minorHAnsi" w:hAnsiTheme="minorHAnsi" w:cstheme="minorHAnsi"/>
                <w:sz w:val="22"/>
                <w:szCs w:val="22"/>
              </w:rPr>
            </w:pPr>
          </w:p>
        </w:tc>
        <w:tc>
          <w:tcPr>
            <w:tcW w:w="3260" w:type="dxa"/>
          </w:tcPr>
          <w:p w14:paraId="3A463D38" w14:textId="77777777" w:rsidR="00534931" w:rsidRDefault="00534931" w:rsidP="00965831">
            <w:pPr>
              <w:rPr>
                <w:rFonts w:asciiTheme="minorHAnsi" w:hAnsiTheme="minorHAnsi" w:cstheme="minorHAnsi"/>
                <w:sz w:val="22"/>
                <w:szCs w:val="22"/>
              </w:rPr>
            </w:pPr>
            <w:r>
              <w:rPr>
                <w:rFonts w:asciiTheme="minorHAnsi" w:hAnsiTheme="minorHAnsi" w:cstheme="minorHAnsi"/>
                <w:sz w:val="22"/>
                <w:szCs w:val="22"/>
              </w:rPr>
              <w:t>Wyjaśnienie:</w:t>
            </w:r>
          </w:p>
          <w:p w14:paraId="38A42272" w14:textId="77777777" w:rsidR="00534931" w:rsidRDefault="00534931" w:rsidP="00965831">
            <w:pPr>
              <w:rPr>
                <w:rFonts w:asciiTheme="minorHAnsi" w:hAnsiTheme="minorHAnsi" w:cstheme="minorHAnsi"/>
                <w:sz w:val="22"/>
                <w:szCs w:val="22"/>
              </w:rPr>
            </w:pPr>
          </w:p>
          <w:p w14:paraId="50729273" w14:textId="3F4B7C60" w:rsidR="000864B9" w:rsidRPr="00A06425" w:rsidRDefault="00DB5DFF" w:rsidP="00534931">
            <w:pPr>
              <w:rPr>
                <w:rFonts w:asciiTheme="minorHAnsi" w:hAnsiTheme="minorHAnsi" w:cstheme="minorHAnsi"/>
                <w:sz w:val="22"/>
                <w:szCs w:val="22"/>
              </w:rPr>
            </w:pPr>
            <w:r>
              <w:rPr>
                <w:rFonts w:asciiTheme="minorHAnsi" w:hAnsiTheme="minorHAnsi" w:cstheme="minorHAnsi"/>
                <w:sz w:val="22"/>
                <w:szCs w:val="22"/>
              </w:rPr>
              <w:t xml:space="preserve">Tak, jak </w:t>
            </w:r>
            <w:r w:rsidR="00534931">
              <w:rPr>
                <w:rFonts w:asciiTheme="minorHAnsi" w:hAnsiTheme="minorHAnsi" w:cstheme="minorHAnsi"/>
                <w:sz w:val="22"/>
                <w:szCs w:val="22"/>
              </w:rPr>
              <w:t>określono</w:t>
            </w:r>
            <w:r>
              <w:rPr>
                <w:rFonts w:asciiTheme="minorHAnsi" w:hAnsiTheme="minorHAnsi" w:cstheme="minorHAnsi"/>
                <w:sz w:val="22"/>
                <w:szCs w:val="22"/>
              </w:rPr>
              <w:t xml:space="preserve"> w GBER</w:t>
            </w:r>
            <w:r w:rsidR="00534931">
              <w:rPr>
                <w:rFonts w:asciiTheme="minorHAnsi" w:hAnsiTheme="minorHAnsi" w:cstheme="minorHAnsi"/>
                <w:sz w:val="22"/>
                <w:szCs w:val="22"/>
              </w:rPr>
              <w:t>,</w:t>
            </w:r>
            <w:r>
              <w:rPr>
                <w:rFonts w:asciiTheme="minorHAnsi" w:hAnsiTheme="minorHAnsi" w:cstheme="minorHAnsi"/>
                <w:sz w:val="22"/>
                <w:szCs w:val="22"/>
              </w:rPr>
              <w:t xml:space="preserve"> pomocy publicznej można udzielić</w:t>
            </w:r>
            <w:r w:rsidR="00534931">
              <w:rPr>
                <w:rFonts w:asciiTheme="minorHAnsi" w:hAnsiTheme="minorHAnsi" w:cstheme="minorHAnsi"/>
                <w:sz w:val="22"/>
                <w:szCs w:val="22"/>
              </w:rPr>
              <w:t xml:space="preserve"> wyłącznie na obszarach,</w:t>
            </w:r>
            <w:r>
              <w:rPr>
                <w:rFonts w:asciiTheme="minorHAnsi" w:hAnsiTheme="minorHAnsi" w:cstheme="minorHAnsi"/>
                <w:sz w:val="22"/>
                <w:szCs w:val="22"/>
              </w:rPr>
              <w:t xml:space="preserve"> gdzie sieć „</w:t>
            </w:r>
            <w:r w:rsidRPr="00DB5DFF">
              <w:rPr>
                <w:rFonts w:asciiTheme="minorHAnsi" w:hAnsiTheme="minorHAnsi" w:cstheme="minorHAnsi"/>
                <w:sz w:val="22"/>
                <w:szCs w:val="22"/>
              </w:rPr>
              <w:t>nie istnieje lub rozwój takiej sieci nie jest w wiarygodny sposób planowany w ciągu trzech lat</w:t>
            </w:r>
            <w:r>
              <w:rPr>
                <w:rFonts w:asciiTheme="minorHAnsi" w:hAnsiTheme="minorHAnsi" w:cstheme="minorHAnsi"/>
                <w:sz w:val="22"/>
                <w:szCs w:val="22"/>
              </w:rPr>
              <w:t xml:space="preserve">”. </w:t>
            </w:r>
            <w:r w:rsidR="00534931">
              <w:rPr>
                <w:rFonts w:asciiTheme="minorHAnsi" w:hAnsiTheme="minorHAnsi" w:cstheme="minorHAnsi"/>
                <w:sz w:val="22"/>
                <w:szCs w:val="22"/>
              </w:rPr>
              <w:t>W związku z tym spod udzielania pomocy wyłączane są obszary objęte m.in. wiarygodnymi planami inwestycyjnymi przedsiębiorców telekomunikacyjnych. Natomiast plany te mogą ulec zmianie lub nie</w:t>
            </w:r>
            <w:r>
              <w:rPr>
                <w:rFonts w:asciiTheme="minorHAnsi" w:hAnsiTheme="minorHAnsi" w:cstheme="minorHAnsi"/>
                <w:sz w:val="22"/>
                <w:szCs w:val="22"/>
              </w:rPr>
              <w:t xml:space="preserve"> b</w:t>
            </w:r>
            <w:r w:rsidR="00534931">
              <w:rPr>
                <w:rFonts w:asciiTheme="minorHAnsi" w:hAnsiTheme="minorHAnsi" w:cstheme="minorHAnsi"/>
                <w:sz w:val="22"/>
                <w:szCs w:val="22"/>
              </w:rPr>
              <w:t>yć</w:t>
            </w:r>
            <w:r>
              <w:rPr>
                <w:rFonts w:asciiTheme="minorHAnsi" w:hAnsiTheme="minorHAnsi" w:cstheme="minorHAnsi"/>
                <w:sz w:val="22"/>
                <w:szCs w:val="22"/>
              </w:rPr>
              <w:t xml:space="preserve"> realizowane</w:t>
            </w:r>
            <w:r w:rsidR="00534931">
              <w:rPr>
                <w:rFonts w:asciiTheme="minorHAnsi" w:hAnsiTheme="minorHAnsi" w:cstheme="minorHAnsi"/>
                <w:sz w:val="22"/>
                <w:szCs w:val="22"/>
              </w:rPr>
              <w:t>,</w:t>
            </w:r>
            <w:r>
              <w:rPr>
                <w:rFonts w:asciiTheme="minorHAnsi" w:hAnsiTheme="minorHAnsi" w:cstheme="minorHAnsi"/>
                <w:sz w:val="22"/>
                <w:szCs w:val="22"/>
              </w:rPr>
              <w:t xml:space="preserve"> czyli sieć nie powstanie. W takim wypadku nie ma powodu</w:t>
            </w:r>
            <w:r w:rsidR="00534931">
              <w:rPr>
                <w:rFonts w:asciiTheme="minorHAnsi" w:hAnsiTheme="minorHAnsi" w:cstheme="minorHAnsi"/>
                <w:sz w:val="22"/>
                <w:szCs w:val="22"/>
              </w:rPr>
              <w:t xml:space="preserve"> ani nie jest niedopuszczalne przez GBER,</w:t>
            </w:r>
            <w:r>
              <w:rPr>
                <w:rFonts w:asciiTheme="minorHAnsi" w:hAnsiTheme="minorHAnsi" w:cstheme="minorHAnsi"/>
                <w:sz w:val="22"/>
                <w:szCs w:val="22"/>
              </w:rPr>
              <w:t xml:space="preserve"> </w:t>
            </w:r>
            <w:r w:rsidR="00534931">
              <w:rPr>
                <w:rFonts w:asciiTheme="minorHAnsi" w:hAnsiTheme="minorHAnsi" w:cstheme="minorHAnsi"/>
                <w:sz w:val="22"/>
                <w:szCs w:val="22"/>
              </w:rPr>
              <w:t>a</w:t>
            </w:r>
            <w:r>
              <w:rPr>
                <w:rFonts w:asciiTheme="minorHAnsi" w:hAnsiTheme="minorHAnsi" w:cstheme="minorHAnsi"/>
                <w:sz w:val="22"/>
                <w:szCs w:val="22"/>
              </w:rPr>
              <w:t xml:space="preserve">by </w:t>
            </w:r>
            <w:r>
              <w:rPr>
                <w:rFonts w:asciiTheme="minorHAnsi" w:hAnsiTheme="minorHAnsi" w:cstheme="minorHAnsi"/>
                <w:sz w:val="22"/>
                <w:szCs w:val="22"/>
              </w:rPr>
              <w:lastRenderedPageBreak/>
              <w:t>obszary</w:t>
            </w:r>
            <w:r w:rsidR="00534931">
              <w:rPr>
                <w:rFonts w:asciiTheme="minorHAnsi" w:hAnsiTheme="minorHAnsi" w:cstheme="minorHAnsi"/>
                <w:sz w:val="22"/>
                <w:szCs w:val="22"/>
              </w:rPr>
              <w:t xml:space="preserve"> objęte takimi nierealizowanymi planami</w:t>
            </w:r>
            <w:r>
              <w:rPr>
                <w:rFonts w:asciiTheme="minorHAnsi" w:hAnsiTheme="minorHAnsi" w:cstheme="minorHAnsi"/>
                <w:sz w:val="22"/>
                <w:szCs w:val="22"/>
              </w:rPr>
              <w:t xml:space="preserve"> były </w:t>
            </w:r>
            <w:r w:rsidR="00534931">
              <w:rPr>
                <w:rFonts w:asciiTheme="minorHAnsi" w:hAnsiTheme="minorHAnsi" w:cstheme="minorHAnsi"/>
                <w:sz w:val="22"/>
                <w:szCs w:val="22"/>
              </w:rPr>
              <w:t xml:space="preserve">nadal </w:t>
            </w:r>
            <w:r>
              <w:rPr>
                <w:rFonts w:asciiTheme="minorHAnsi" w:hAnsiTheme="minorHAnsi" w:cstheme="minorHAnsi"/>
                <w:sz w:val="22"/>
                <w:szCs w:val="22"/>
              </w:rPr>
              <w:t xml:space="preserve">wyłączone z możliwości uzyskania </w:t>
            </w:r>
            <w:r w:rsidR="00534931">
              <w:rPr>
                <w:rFonts w:asciiTheme="minorHAnsi" w:hAnsiTheme="minorHAnsi" w:cstheme="minorHAnsi"/>
                <w:sz w:val="22"/>
                <w:szCs w:val="22"/>
              </w:rPr>
              <w:t>pomocy.</w:t>
            </w:r>
            <w:r>
              <w:rPr>
                <w:rFonts w:asciiTheme="minorHAnsi" w:hAnsiTheme="minorHAnsi" w:cstheme="minorHAnsi"/>
                <w:sz w:val="22"/>
                <w:szCs w:val="22"/>
              </w:rPr>
              <w:t xml:space="preserve"> </w:t>
            </w:r>
          </w:p>
        </w:tc>
      </w:tr>
      <w:tr w:rsidR="00965831" w:rsidRPr="00A06425" w14:paraId="3F0B51D6" w14:textId="77777777" w:rsidTr="00965831">
        <w:tc>
          <w:tcPr>
            <w:tcW w:w="562" w:type="dxa"/>
            <w:shd w:val="clear" w:color="auto" w:fill="auto"/>
          </w:tcPr>
          <w:p w14:paraId="36EA4C76" w14:textId="33A76A42" w:rsidR="00965831" w:rsidRPr="00965831" w:rsidRDefault="00965831"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55840D54" w14:textId="28784DC9" w:rsidR="00965831" w:rsidRPr="003B667C" w:rsidRDefault="00965831" w:rsidP="00965831">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46002DC6" w14:textId="385E9C9B" w:rsidR="00965831" w:rsidRPr="00BA7A11" w:rsidRDefault="00965831" w:rsidP="00965831">
            <w:pPr>
              <w:rPr>
                <w:rFonts w:asciiTheme="minorHAnsi" w:hAnsiTheme="minorHAnsi" w:cstheme="minorHAnsi"/>
                <w:sz w:val="22"/>
                <w:szCs w:val="22"/>
              </w:rPr>
            </w:pPr>
            <w:r w:rsidRPr="00571FEC">
              <w:rPr>
                <w:rFonts w:asciiTheme="minorHAnsi" w:hAnsiTheme="minorHAnsi" w:cstheme="minorHAnsi"/>
                <w:sz w:val="22"/>
                <w:szCs w:val="22"/>
              </w:rPr>
              <w:t>§ 4 ust. 4</w:t>
            </w:r>
          </w:p>
        </w:tc>
        <w:tc>
          <w:tcPr>
            <w:tcW w:w="5103" w:type="dxa"/>
            <w:shd w:val="clear" w:color="auto" w:fill="auto"/>
          </w:tcPr>
          <w:p w14:paraId="0FE8F21A" w14:textId="5AF35FF4" w:rsidR="00965831" w:rsidRPr="00BA7A11" w:rsidRDefault="00965831" w:rsidP="00534931">
            <w:pPr>
              <w:rPr>
                <w:rFonts w:asciiTheme="minorHAnsi" w:hAnsiTheme="minorHAnsi" w:cstheme="minorHAnsi"/>
                <w:sz w:val="22"/>
                <w:szCs w:val="22"/>
              </w:rPr>
            </w:pPr>
            <w:r w:rsidRPr="00965831">
              <w:rPr>
                <w:rFonts w:asciiTheme="minorHAnsi" w:hAnsiTheme="minorHAnsi" w:cstheme="minorHAnsi"/>
                <w:sz w:val="22"/>
                <w:szCs w:val="22"/>
              </w:rPr>
              <w:t>Ponadto zauważyć należy, iż nie tyle obszar może zostać objęty wsparciem, a przedsięwzięcie realizowane na danym obszarze. Przepisy projektu wymagają ponownej analizy i omówienia.</w:t>
            </w:r>
          </w:p>
        </w:tc>
        <w:tc>
          <w:tcPr>
            <w:tcW w:w="3260" w:type="dxa"/>
            <w:shd w:val="clear" w:color="auto" w:fill="auto"/>
          </w:tcPr>
          <w:p w14:paraId="769C9BDF" w14:textId="77777777" w:rsidR="00965831" w:rsidRPr="00A06425" w:rsidRDefault="00965831" w:rsidP="00965831">
            <w:pPr>
              <w:rPr>
                <w:rFonts w:asciiTheme="minorHAnsi" w:hAnsiTheme="minorHAnsi" w:cstheme="minorHAnsi"/>
                <w:sz w:val="22"/>
                <w:szCs w:val="22"/>
              </w:rPr>
            </w:pPr>
          </w:p>
        </w:tc>
        <w:tc>
          <w:tcPr>
            <w:tcW w:w="3260" w:type="dxa"/>
          </w:tcPr>
          <w:p w14:paraId="6B2090AF" w14:textId="77777777" w:rsidR="00965831" w:rsidRDefault="00534931" w:rsidP="00534931">
            <w:pPr>
              <w:rPr>
                <w:rFonts w:asciiTheme="minorHAnsi" w:hAnsiTheme="minorHAnsi" w:cstheme="minorHAnsi"/>
                <w:sz w:val="22"/>
                <w:szCs w:val="22"/>
              </w:rPr>
            </w:pPr>
            <w:r>
              <w:rPr>
                <w:rFonts w:asciiTheme="minorHAnsi" w:hAnsiTheme="minorHAnsi" w:cstheme="minorHAnsi"/>
                <w:sz w:val="22"/>
                <w:szCs w:val="22"/>
              </w:rPr>
              <w:t>Uwaga uwzględniona</w:t>
            </w:r>
          </w:p>
          <w:p w14:paraId="614B8E6A" w14:textId="77777777" w:rsidR="00534931" w:rsidRDefault="00534931" w:rsidP="00534931">
            <w:pPr>
              <w:rPr>
                <w:rFonts w:asciiTheme="minorHAnsi" w:hAnsiTheme="minorHAnsi" w:cstheme="minorHAnsi"/>
                <w:sz w:val="22"/>
                <w:szCs w:val="22"/>
              </w:rPr>
            </w:pPr>
          </w:p>
          <w:p w14:paraId="71149E57" w14:textId="2AA36F59" w:rsidR="00534931" w:rsidRDefault="00534931" w:rsidP="00534931">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965831" w:rsidRPr="00A06425" w14:paraId="219731D9" w14:textId="77777777" w:rsidTr="00965831">
        <w:tc>
          <w:tcPr>
            <w:tcW w:w="562" w:type="dxa"/>
            <w:shd w:val="clear" w:color="auto" w:fill="auto"/>
          </w:tcPr>
          <w:p w14:paraId="6FD56908" w14:textId="5B5B86B4" w:rsidR="00965831" w:rsidRPr="00965831" w:rsidRDefault="00965831"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692B48BF" w14:textId="2A4CD862" w:rsidR="00965831" w:rsidRPr="00487E3B" w:rsidRDefault="00965831" w:rsidP="00965831">
            <w:pPr>
              <w:spacing w:before="60" w:after="60"/>
              <w:rPr>
                <w:rFonts w:asciiTheme="minorHAnsi" w:hAnsiTheme="minorHAnsi" w:cstheme="minorHAnsi"/>
                <w:b/>
                <w:color w:val="FF0000"/>
                <w:sz w:val="22"/>
                <w:szCs w:val="22"/>
              </w:rPr>
            </w:pPr>
            <w:r w:rsidRPr="002557C7">
              <w:rPr>
                <w:rFonts w:asciiTheme="minorHAnsi" w:hAnsiTheme="minorHAnsi" w:cstheme="minorHAnsi"/>
                <w:b/>
                <w:sz w:val="22"/>
                <w:szCs w:val="22"/>
              </w:rPr>
              <w:t>RCL</w:t>
            </w:r>
          </w:p>
        </w:tc>
        <w:tc>
          <w:tcPr>
            <w:tcW w:w="1843" w:type="dxa"/>
            <w:shd w:val="clear" w:color="auto" w:fill="auto"/>
          </w:tcPr>
          <w:p w14:paraId="3C92B682" w14:textId="20AACA7D" w:rsidR="00965831" w:rsidRPr="002557C7" w:rsidRDefault="00965831" w:rsidP="00965831">
            <w:pPr>
              <w:rPr>
                <w:rFonts w:asciiTheme="minorHAnsi" w:hAnsiTheme="minorHAnsi" w:cstheme="minorHAnsi"/>
                <w:sz w:val="22"/>
                <w:szCs w:val="22"/>
              </w:rPr>
            </w:pPr>
            <w:r w:rsidRPr="002557C7">
              <w:rPr>
                <w:rFonts w:asciiTheme="minorHAnsi" w:hAnsiTheme="minorHAnsi" w:cstheme="minorHAnsi"/>
                <w:sz w:val="22"/>
                <w:szCs w:val="22"/>
              </w:rPr>
              <w:t>§ 4 ust. 4</w:t>
            </w:r>
          </w:p>
        </w:tc>
        <w:tc>
          <w:tcPr>
            <w:tcW w:w="5103" w:type="dxa"/>
            <w:shd w:val="clear" w:color="auto" w:fill="auto"/>
          </w:tcPr>
          <w:p w14:paraId="5C465503" w14:textId="77777777" w:rsidR="00965831" w:rsidRPr="002557C7" w:rsidRDefault="00965831" w:rsidP="00965831">
            <w:pPr>
              <w:rPr>
                <w:rFonts w:asciiTheme="minorHAnsi" w:hAnsiTheme="minorHAnsi" w:cstheme="minorHAnsi"/>
                <w:sz w:val="22"/>
                <w:szCs w:val="22"/>
              </w:rPr>
            </w:pPr>
            <w:r w:rsidRPr="002557C7">
              <w:rPr>
                <w:rFonts w:asciiTheme="minorHAnsi" w:hAnsiTheme="minorHAnsi" w:cstheme="minorHAnsi"/>
                <w:sz w:val="22"/>
                <w:szCs w:val="22"/>
              </w:rPr>
              <w:t>Jednocześnie rozporządzenie Komisji (UE) nr 651/2014 stanowi o pewnym „uwiarygodnieniu” nieplanowania rozwoju przedmiotowej sieci, co podlega weryfikacji m.in. w drodze otwartych konsultacji publicznych, przeprowadzanych przez właściwy organ publiczny (zgodnie z art. 52 ust. 4 – publikacja głównych cech planowanego środka oraz wykazu geograficznych obszarów docelowych na odpowiedniej stronie internetowej).</w:t>
            </w:r>
          </w:p>
          <w:p w14:paraId="63705B03" w14:textId="1138375F" w:rsidR="00965831" w:rsidRPr="002557C7" w:rsidRDefault="00965831" w:rsidP="00965831">
            <w:pPr>
              <w:rPr>
                <w:rFonts w:asciiTheme="minorHAnsi" w:hAnsiTheme="minorHAnsi" w:cstheme="minorHAnsi"/>
                <w:sz w:val="22"/>
                <w:szCs w:val="22"/>
              </w:rPr>
            </w:pPr>
            <w:r w:rsidRPr="002557C7">
              <w:rPr>
                <w:rFonts w:asciiTheme="minorHAnsi" w:hAnsiTheme="minorHAnsi" w:cstheme="minorHAnsi"/>
                <w:sz w:val="22"/>
                <w:szCs w:val="22"/>
              </w:rPr>
              <w:t>Z uwagi na fakt, iż w projektowanym akcie należy uszczegółowić warunki przyznawania pomocy, rozważyć trzeba odpowiednie uzupełnienie przepisów w tej mierze (czy też odesłanie do prawodawstwa unijnego);</w:t>
            </w:r>
          </w:p>
        </w:tc>
        <w:tc>
          <w:tcPr>
            <w:tcW w:w="3260" w:type="dxa"/>
            <w:shd w:val="clear" w:color="auto" w:fill="auto"/>
          </w:tcPr>
          <w:p w14:paraId="68606E5C" w14:textId="77777777" w:rsidR="00965831" w:rsidRPr="002557C7" w:rsidRDefault="00965831" w:rsidP="00965831">
            <w:pPr>
              <w:rPr>
                <w:rFonts w:asciiTheme="minorHAnsi" w:hAnsiTheme="minorHAnsi" w:cstheme="minorHAnsi"/>
                <w:sz w:val="22"/>
                <w:szCs w:val="22"/>
              </w:rPr>
            </w:pPr>
          </w:p>
        </w:tc>
        <w:tc>
          <w:tcPr>
            <w:tcW w:w="3260" w:type="dxa"/>
          </w:tcPr>
          <w:p w14:paraId="288B47B6" w14:textId="263DB454" w:rsidR="002557C7" w:rsidRDefault="002557C7" w:rsidP="002557C7">
            <w:pPr>
              <w:rPr>
                <w:rFonts w:asciiTheme="minorHAnsi" w:hAnsiTheme="minorHAnsi" w:cstheme="minorHAnsi"/>
                <w:sz w:val="22"/>
                <w:szCs w:val="22"/>
              </w:rPr>
            </w:pPr>
            <w:r w:rsidRPr="002557C7">
              <w:rPr>
                <w:rFonts w:asciiTheme="minorHAnsi" w:hAnsiTheme="minorHAnsi" w:cstheme="minorHAnsi"/>
                <w:sz w:val="22"/>
                <w:szCs w:val="22"/>
              </w:rPr>
              <w:t xml:space="preserve">Uwaga </w:t>
            </w:r>
            <w:r w:rsidR="00D43B75">
              <w:rPr>
                <w:rFonts w:asciiTheme="minorHAnsi" w:hAnsiTheme="minorHAnsi" w:cstheme="minorHAnsi"/>
                <w:sz w:val="22"/>
                <w:szCs w:val="22"/>
              </w:rPr>
              <w:t>nieuwzględniona</w:t>
            </w:r>
          </w:p>
          <w:p w14:paraId="283BCB71" w14:textId="77777777" w:rsidR="00D43B75" w:rsidRDefault="00D43B75" w:rsidP="002557C7">
            <w:pPr>
              <w:rPr>
                <w:rFonts w:asciiTheme="minorHAnsi" w:hAnsiTheme="minorHAnsi" w:cstheme="minorHAnsi"/>
                <w:sz w:val="22"/>
                <w:szCs w:val="22"/>
              </w:rPr>
            </w:pPr>
          </w:p>
          <w:p w14:paraId="0CBF3E56" w14:textId="1FC73140" w:rsidR="00D43B75" w:rsidRPr="002557C7" w:rsidRDefault="00D43B75" w:rsidP="002557C7">
            <w:pPr>
              <w:rPr>
                <w:rFonts w:asciiTheme="minorHAnsi" w:hAnsiTheme="minorHAnsi" w:cstheme="minorHAnsi"/>
                <w:sz w:val="22"/>
                <w:szCs w:val="22"/>
              </w:rPr>
            </w:pPr>
            <w:r>
              <w:rPr>
                <w:rFonts w:asciiTheme="minorHAnsi" w:hAnsiTheme="minorHAnsi" w:cstheme="minorHAnsi"/>
                <w:sz w:val="22"/>
                <w:szCs w:val="22"/>
              </w:rPr>
              <w:t>Obowiązek przeprowadzenia konsultacji społecznych wynika bezpośrednio z GBER i w związku z uwagami RCL, nie powtarzamy w treści projektu treści rozporządzenia GBER.</w:t>
            </w:r>
          </w:p>
          <w:p w14:paraId="5676AB51" w14:textId="72CFCA28" w:rsidR="00965831" w:rsidRPr="002557C7" w:rsidRDefault="00965831" w:rsidP="00965831">
            <w:pPr>
              <w:rPr>
                <w:rFonts w:asciiTheme="minorHAnsi" w:hAnsiTheme="minorHAnsi" w:cstheme="minorHAnsi"/>
                <w:sz w:val="22"/>
                <w:szCs w:val="22"/>
              </w:rPr>
            </w:pPr>
          </w:p>
        </w:tc>
      </w:tr>
      <w:tr w:rsidR="000864B9" w:rsidRPr="00A06425" w14:paraId="51401006" w14:textId="77777777" w:rsidTr="00965831">
        <w:tc>
          <w:tcPr>
            <w:tcW w:w="562" w:type="dxa"/>
            <w:shd w:val="clear" w:color="auto" w:fill="auto"/>
          </w:tcPr>
          <w:p w14:paraId="6A85F1D4" w14:textId="18F8681F"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19</w:t>
            </w:r>
          </w:p>
        </w:tc>
        <w:tc>
          <w:tcPr>
            <w:tcW w:w="1134" w:type="dxa"/>
            <w:shd w:val="clear" w:color="auto" w:fill="auto"/>
          </w:tcPr>
          <w:p w14:paraId="2F9B439C" w14:textId="2F2D34B7"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27D793B" w14:textId="11ADCC2F" w:rsidR="000864B9" w:rsidRPr="00A06425" w:rsidRDefault="00003FE7" w:rsidP="000864B9">
            <w:pPr>
              <w:rPr>
                <w:rFonts w:asciiTheme="minorHAnsi" w:hAnsiTheme="minorHAnsi" w:cstheme="minorHAnsi"/>
                <w:sz w:val="22"/>
                <w:szCs w:val="22"/>
              </w:rPr>
            </w:pPr>
            <w:r w:rsidRPr="00B72712">
              <w:rPr>
                <w:rFonts w:asciiTheme="minorHAnsi" w:hAnsiTheme="minorHAnsi" w:cstheme="minorHAnsi"/>
                <w:sz w:val="22"/>
                <w:szCs w:val="22"/>
              </w:rPr>
              <w:t>§ 4 ust. 5</w:t>
            </w:r>
          </w:p>
        </w:tc>
        <w:tc>
          <w:tcPr>
            <w:tcW w:w="5103" w:type="dxa"/>
            <w:shd w:val="clear" w:color="auto" w:fill="auto"/>
          </w:tcPr>
          <w:p w14:paraId="792A61E4" w14:textId="6A8B8DC1"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nie jest jasna intencja przepisu § 4 ust. 5 projektu, gdzie stanowi się, iż ujawnienie</w:t>
            </w:r>
            <w:r>
              <w:rPr>
                <w:rFonts w:asciiTheme="minorHAnsi" w:hAnsiTheme="minorHAnsi" w:cstheme="minorHAnsi"/>
                <w:sz w:val="22"/>
                <w:szCs w:val="22"/>
              </w:rPr>
              <w:t xml:space="preserve"> </w:t>
            </w:r>
            <w:r w:rsidRPr="00B72712">
              <w:rPr>
                <w:rFonts w:asciiTheme="minorHAnsi" w:hAnsiTheme="minorHAnsi" w:cstheme="minorHAnsi"/>
                <w:sz w:val="22"/>
                <w:szCs w:val="22"/>
              </w:rPr>
              <w:t>informacji o istniejących lub planowanych sieciach NGA, po ustaleniu listy obszarów, nie</w:t>
            </w:r>
            <w:r>
              <w:rPr>
                <w:rFonts w:asciiTheme="minorHAnsi" w:hAnsiTheme="minorHAnsi" w:cstheme="minorHAnsi"/>
                <w:sz w:val="22"/>
                <w:szCs w:val="22"/>
              </w:rPr>
              <w:t xml:space="preserve"> </w:t>
            </w:r>
            <w:r w:rsidRPr="00B72712">
              <w:rPr>
                <w:rFonts w:asciiTheme="minorHAnsi" w:hAnsiTheme="minorHAnsi" w:cstheme="minorHAnsi"/>
                <w:sz w:val="22"/>
                <w:szCs w:val="22"/>
              </w:rPr>
              <w:t>stanowi przeszkody do udzielenia wsparcia na tych obszarach. Skoro przedmiotowa lista</w:t>
            </w:r>
            <w:r>
              <w:rPr>
                <w:rFonts w:asciiTheme="minorHAnsi" w:hAnsiTheme="minorHAnsi" w:cstheme="minorHAnsi"/>
                <w:sz w:val="22"/>
                <w:szCs w:val="22"/>
              </w:rPr>
              <w:t xml:space="preserve"> </w:t>
            </w:r>
            <w:r w:rsidRPr="00B72712">
              <w:rPr>
                <w:rFonts w:asciiTheme="minorHAnsi" w:hAnsiTheme="minorHAnsi" w:cstheme="minorHAnsi"/>
                <w:sz w:val="22"/>
                <w:szCs w:val="22"/>
              </w:rPr>
              <w:t>ustalana jest przed ogłoszeniem procedury wyboru a planowanie budowy sieci NGA w ciągu</w:t>
            </w:r>
            <w:r>
              <w:rPr>
                <w:rFonts w:asciiTheme="minorHAnsi" w:hAnsiTheme="minorHAnsi" w:cstheme="minorHAnsi"/>
                <w:sz w:val="22"/>
                <w:szCs w:val="22"/>
              </w:rPr>
              <w:t xml:space="preserve"> </w:t>
            </w:r>
            <w:r w:rsidRPr="00B72712">
              <w:rPr>
                <w:rFonts w:asciiTheme="minorHAnsi" w:hAnsiTheme="minorHAnsi" w:cstheme="minorHAnsi"/>
                <w:sz w:val="22"/>
                <w:szCs w:val="22"/>
              </w:rPr>
              <w:t>3 lat jest podstawą do wyłączenia obszaru spod możliwości udzielenia wsparcia, to uzasadnić</w:t>
            </w:r>
          </w:p>
          <w:p w14:paraId="52A0CA2A" w14:textId="083FC7E2"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należy projektowane objęcie obszaru, na którym planuje się budowę sieci NGA wsparciem,</w:t>
            </w:r>
            <w:r>
              <w:rPr>
                <w:rFonts w:asciiTheme="minorHAnsi" w:hAnsiTheme="minorHAnsi" w:cstheme="minorHAnsi"/>
                <w:sz w:val="22"/>
                <w:szCs w:val="22"/>
              </w:rPr>
              <w:t xml:space="preserve"> </w:t>
            </w:r>
            <w:r w:rsidRPr="00B72712">
              <w:rPr>
                <w:rFonts w:asciiTheme="minorHAnsi" w:hAnsiTheme="minorHAnsi" w:cstheme="minorHAnsi"/>
                <w:sz w:val="22"/>
                <w:szCs w:val="22"/>
              </w:rPr>
              <w:t>skoro informacja o takim przypadku ujawniana jest jeszcze zanim rozpocznie się procedura</w:t>
            </w:r>
            <w:r>
              <w:rPr>
                <w:rFonts w:asciiTheme="minorHAnsi" w:hAnsiTheme="minorHAnsi" w:cstheme="minorHAnsi"/>
                <w:sz w:val="22"/>
                <w:szCs w:val="22"/>
              </w:rPr>
              <w:t xml:space="preserve"> </w:t>
            </w:r>
            <w:r w:rsidRPr="00B72712">
              <w:rPr>
                <w:rFonts w:asciiTheme="minorHAnsi" w:hAnsiTheme="minorHAnsi" w:cstheme="minorHAnsi"/>
                <w:sz w:val="22"/>
                <w:szCs w:val="22"/>
              </w:rPr>
              <w:t>naboru;</w:t>
            </w:r>
          </w:p>
        </w:tc>
        <w:tc>
          <w:tcPr>
            <w:tcW w:w="3260" w:type="dxa"/>
            <w:shd w:val="clear" w:color="auto" w:fill="auto"/>
          </w:tcPr>
          <w:p w14:paraId="7D787F4D" w14:textId="77777777" w:rsidR="000864B9" w:rsidRPr="00A06425" w:rsidRDefault="000864B9" w:rsidP="000864B9">
            <w:pPr>
              <w:rPr>
                <w:rFonts w:asciiTheme="minorHAnsi" w:hAnsiTheme="minorHAnsi" w:cstheme="minorHAnsi"/>
                <w:sz w:val="22"/>
                <w:szCs w:val="22"/>
              </w:rPr>
            </w:pPr>
          </w:p>
        </w:tc>
        <w:tc>
          <w:tcPr>
            <w:tcW w:w="3260" w:type="dxa"/>
          </w:tcPr>
          <w:p w14:paraId="46798B18" w14:textId="77777777" w:rsidR="00BC036A" w:rsidRDefault="00BC036A" w:rsidP="000864B9">
            <w:pPr>
              <w:rPr>
                <w:rFonts w:asciiTheme="minorHAnsi" w:hAnsiTheme="minorHAnsi" w:cstheme="minorHAnsi"/>
                <w:sz w:val="22"/>
                <w:szCs w:val="22"/>
              </w:rPr>
            </w:pPr>
            <w:r>
              <w:rPr>
                <w:rFonts w:asciiTheme="minorHAnsi" w:hAnsiTheme="minorHAnsi" w:cstheme="minorHAnsi"/>
                <w:sz w:val="22"/>
                <w:szCs w:val="22"/>
              </w:rPr>
              <w:t>Wyjaśnienie:</w:t>
            </w:r>
          </w:p>
          <w:p w14:paraId="28623D9F" w14:textId="77777777" w:rsidR="00BC036A" w:rsidRDefault="00BC036A" w:rsidP="000864B9">
            <w:pPr>
              <w:rPr>
                <w:rFonts w:asciiTheme="minorHAnsi" w:hAnsiTheme="minorHAnsi" w:cstheme="minorHAnsi"/>
                <w:sz w:val="22"/>
                <w:szCs w:val="22"/>
              </w:rPr>
            </w:pPr>
          </w:p>
          <w:p w14:paraId="12B8A935" w14:textId="30DD9174" w:rsidR="000864B9" w:rsidRPr="00A06425" w:rsidRDefault="00BC036A" w:rsidP="00BC036A">
            <w:pPr>
              <w:rPr>
                <w:rFonts w:asciiTheme="minorHAnsi" w:hAnsiTheme="minorHAnsi" w:cstheme="minorHAnsi"/>
                <w:sz w:val="22"/>
                <w:szCs w:val="22"/>
              </w:rPr>
            </w:pPr>
            <w:r>
              <w:rPr>
                <w:rFonts w:asciiTheme="minorHAnsi" w:hAnsiTheme="minorHAnsi" w:cstheme="minorHAnsi"/>
                <w:sz w:val="22"/>
                <w:szCs w:val="22"/>
              </w:rPr>
              <w:t xml:space="preserve">Jak już wcześniej wyjaśniono, żeby wyznaczyć obszary, na których można udzielić pomocy, </w:t>
            </w:r>
            <w:r w:rsidR="00972A9A">
              <w:rPr>
                <w:rFonts w:asciiTheme="minorHAnsi" w:hAnsiTheme="minorHAnsi" w:cstheme="minorHAnsi"/>
                <w:sz w:val="22"/>
                <w:szCs w:val="22"/>
              </w:rPr>
              <w:t>konieczne jest okre</w:t>
            </w:r>
            <w:r>
              <w:rPr>
                <w:rFonts w:asciiTheme="minorHAnsi" w:hAnsiTheme="minorHAnsi" w:cstheme="minorHAnsi"/>
                <w:sz w:val="22"/>
                <w:szCs w:val="22"/>
              </w:rPr>
              <w:t>ślenie gdzie infrastruktura sieci NGA istnieje</w:t>
            </w:r>
            <w:r w:rsidR="00972A9A">
              <w:rPr>
                <w:rFonts w:asciiTheme="minorHAnsi" w:hAnsiTheme="minorHAnsi" w:cstheme="minorHAnsi"/>
                <w:sz w:val="22"/>
                <w:szCs w:val="22"/>
              </w:rPr>
              <w:t xml:space="preserve"> i jest</w:t>
            </w:r>
            <w:r>
              <w:rPr>
                <w:rFonts w:asciiTheme="minorHAnsi" w:hAnsiTheme="minorHAnsi" w:cstheme="minorHAnsi"/>
                <w:sz w:val="22"/>
                <w:szCs w:val="22"/>
              </w:rPr>
              <w:t xml:space="preserve"> w sposób wiarygodny</w:t>
            </w:r>
            <w:r w:rsidR="00972A9A">
              <w:rPr>
                <w:rFonts w:asciiTheme="minorHAnsi" w:hAnsiTheme="minorHAnsi" w:cstheme="minorHAnsi"/>
                <w:sz w:val="22"/>
                <w:szCs w:val="22"/>
              </w:rPr>
              <w:t xml:space="preserve"> planowana. </w:t>
            </w:r>
            <w:r>
              <w:rPr>
                <w:rFonts w:asciiTheme="minorHAnsi" w:hAnsiTheme="minorHAnsi" w:cstheme="minorHAnsi"/>
                <w:sz w:val="22"/>
                <w:szCs w:val="22"/>
              </w:rPr>
              <w:t xml:space="preserve">Ustalenie takich obszarów następuje przed ogłoszeniem procedury wyboru przedsięwzięć (m.in. w drodze konsultacji społecznych i procesów, w ramach których podmioty świadczące usługi telekomunikacyjne są ustawowo </w:t>
            </w:r>
            <w:r>
              <w:rPr>
                <w:rFonts w:asciiTheme="minorHAnsi" w:hAnsiTheme="minorHAnsi" w:cstheme="minorHAnsi"/>
                <w:sz w:val="22"/>
                <w:szCs w:val="22"/>
              </w:rPr>
              <w:lastRenderedPageBreak/>
              <w:t>zobowiązane do przekazywania informacji o posiadanej infrastrukturze do odpowiednich organów), w ramach której ustalone obszary uznaje się za ostateczne, wiążące wnioskodawców, a następnie odbiorców ostatecznych. Projektowany przepis rozstrzyga, że w przypadku, gdy po ustaleniu listy obszarów ujawni się istniejąca infrastruktura lub plany inwestycyjne (a taka sytuacja w praktyce wystąpi wyłącznie, gdy podmioty ujawniające tę infrastrukturę lub plany nie dokonają tego ujawnienia we właściwych procesach poprzedzających ustalenie listy obszarów), to na obszarach, na których nastąpiło ujawnienie, nadal może być udzielona pomoc i realizowane przedsięwzięcie. Przepis z jednej strony jest elementem warunków udzielenia pomocy, z drugiej jest gwarancją dla wnioskodawców, że obszary ustalone na potrzeby procedury wyboru są ostateczne i że przystępując do procedury wyboru wnioskodawca będzie mógł otrzymać pomoc na realizację przedsięwzięcia na tych obszarach, nawet jeżeli na późniejszych etapach ujawnią się na nich infrastruktura lub plany inwestycyjne.</w:t>
            </w:r>
          </w:p>
        </w:tc>
      </w:tr>
      <w:tr w:rsidR="000864B9" w:rsidRPr="00A06425" w14:paraId="7503B438" w14:textId="77777777" w:rsidTr="00965831">
        <w:tc>
          <w:tcPr>
            <w:tcW w:w="562" w:type="dxa"/>
            <w:shd w:val="clear" w:color="auto" w:fill="auto"/>
          </w:tcPr>
          <w:p w14:paraId="20EBCCA3" w14:textId="3FD9FA40"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20</w:t>
            </w:r>
          </w:p>
        </w:tc>
        <w:tc>
          <w:tcPr>
            <w:tcW w:w="1134" w:type="dxa"/>
            <w:shd w:val="clear" w:color="auto" w:fill="auto"/>
          </w:tcPr>
          <w:p w14:paraId="1116593E" w14:textId="744C2692"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16A52B4" w14:textId="14DF1ABB" w:rsidR="000864B9" w:rsidRPr="00A06425" w:rsidRDefault="00114364" w:rsidP="000864B9">
            <w:pPr>
              <w:rPr>
                <w:rFonts w:asciiTheme="minorHAnsi" w:hAnsiTheme="minorHAnsi" w:cstheme="minorHAnsi"/>
                <w:sz w:val="22"/>
                <w:szCs w:val="22"/>
              </w:rPr>
            </w:pPr>
            <w:r w:rsidRPr="00B72712">
              <w:rPr>
                <w:rFonts w:asciiTheme="minorHAnsi" w:hAnsiTheme="minorHAnsi" w:cstheme="minorHAnsi"/>
                <w:sz w:val="22"/>
                <w:szCs w:val="22"/>
              </w:rPr>
              <w:t>§ 5 ust. 1</w:t>
            </w:r>
          </w:p>
        </w:tc>
        <w:tc>
          <w:tcPr>
            <w:tcW w:w="5103" w:type="dxa"/>
            <w:shd w:val="clear" w:color="auto" w:fill="auto"/>
          </w:tcPr>
          <w:p w14:paraId="3D018C11" w14:textId="08201B5B"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w § 5 ust. 1 projektu rozporządzenia stanowi się, iż wsparcie jest udzielane</w:t>
            </w:r>
            <w:r>
              <w:rPr>
                <w:rFonts w:asciiTheme="minorHAnsi" w:hAnsiTheme="minorHAnsi" w:cstheme="minorHAnsi"/>
                <w:sz w:val="22"/>
                <w:szCs w:val="22"/>
              </w:rPr>
              <w:t xml:space="preserve"> </w:t>
            </w:r>
            <w:r w:rsidRPr="00B72712">
              <w:rPr>
                <w:rFonts w:asciiTheme="minorHAnsi" w:hAnsiTheme="minorHAnsi" w:cstheme="minorHAnsi"/>
                <w:sz w:val="22"/>
                <w:szCs w:val="22"/>
              </w:rPr>
              <w:t>w oparciu o otwartą, przejrzystą i niedyskryminującą konkurencyjną procedurę wyboru,</w:t>
            </w:r>
            <w:r>
              <w:rPr>
                <w:rFonts w:asciiTheme="minorHAnsi" w:hAnsiTheme="minorHAnsi" w:cstheme="minorHAnsi"/>
                <w:sz w:val="22"/>
                <w:szCs w:val="22"/>
              </w:rPr>
              <w:t xml:space="preserve"> </w:t>
            </w:r>
            <w:r w:rsidRPr="00B72712">
              <w:rPr>
                <w:rFonts w:asciiTheme="minorHAnsi" w:hAnsiTheme="minorHAnsi" w:cstheme="minorHAnsi"/>
                <w:sz w:val="22"/>
                <w:szCs w:val="22"/>
              </w:rPr>
              <w:t>z poszanowaniem zasady neutralności technologicznej, co – do zasady – odpowiada art. 52</w:t>
            </w:r>
            <w:r>
              <w:rPr>
                <w:rFonts w:asciiTheme="minorHAnsi" w:hAnsiTheme="minorHAnsi" w:cstheme="minorHAnsi"/>
                <w:sz w:val="22"/>
                <w:szCs w:val="22"/>
              </w:rPr>
              <w:t xml:space="preserve"> </w:t>
            </w:r>
            <w:r w:rsidRPr="00B72712">
              <w:rPr>
                <w:rFonts w:asciiTheme="minorHAnsi" w:hAnsiTheme="minorHAnsi" w:cstheme="minorHAnsi"/>
                <w:sz w:val="22"/>
                <w:szCs w:val="22"/>
              </w:rPr>
              <w:t>ust. 6 lit. a rozporządzenia Komisji (UE) nr 651/2014. W związku z tym, że regulacja ta</w:t>
            </w:r>
          </w:p>
          <w:p w14:paraId="06F37931" w14:textId="1F2AA700"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powtarza treść art. 52 ust. 6 lit. a rozporządzenia Komisji (UE) nr 651/2014 i nie ma</w:t>
            </w:r>
            <w:r>
              <w:rPr>
                <w:rFonts w:asciiTheme="minorHAnsi" w:hAnsiTheme="minorHAnsi" w:cstheme="minorHAnsi"/>
                <w:sz w:val="22"/>
                <w:szCs w:val="22"/>
              </w:rPr>
              <w:t xml:space="preserve"> </w:t>
            </w:r>
            <w:r w:rsidRPr="00B72712">
              <w:rPr>
                <w:rFonts w:asciiTheme="minorHAnsi" w:hAnsiTheme="minorHAnsi" w:cstheme="minorHAnsi"/>
                <w:sz w:val="22"/>
                <w:szCs w:val="22"/>
              </w:rPr>
              <w:t>charakteru normatywnego, nieprawidłowym jest umieszczanie takiej treści w projektowanym</w:t>
            </w:r>
            <w:r>
              <w:rPr>
                <w:rFonts w:asciiTheme="minorHAnsi" w:hAnsiTheme="minorHAnsi" w:cstheme="minorHAnsi"/>
                <w:sz w:val="22"/>
                <w:szCs w:val="22"/>
              </w:rPr>
              <w:t xml:space="preserve"> </w:t>
            </w:r>
            <w:r w:rsidRPr="00B72712">
              <w:rPr>
                <w:rFonts w:asciiTheme="minorHAnsi" w:hAnsiTheme="minorHAnsi" w:cstheme="minorHAnsi"/>
                <w:sz w:val="22"/>
                <w:szCs w:val="22"/>
              </w:rPr>
              <w:t>akcie wykonawczym.</w:t>
            </w:r>
          </w:p>
        </w:tc>
        <w:tc>
          <w:tcPr>
            <w:tcW w:w="3260" w:type="dxa"/>
            <w:shd w:val="clear" w:color="auto" w:fill="auto"/>
          </w:tcPr>
          <w:p w14:paraId="457D1050" w14:textId="77777777" w:rsidR="000864B9" w:rsidRPr="00A06425" w:rsidRDefault="000864B9" w:rsidP="000864B9">
            <w:pPr>
              <w:rPr>
                <w:rFonts w:asciiTheme="minorHAnsi" w:hAnsiTheme="minorHAnsi" w:cstheme="minorHAnsi"/>
                <w:sz w:val="22"/>
                <w:szCs w:val="22"/>
              </w:rPr>
            </w:pPr>
          </w:p>
        </w:tc>
        <w:tc>
          <w:tcPr>
            <w:tcW w:w="3260" w:type="dxa"/>
          </w:tcPr>
          <w:p w14:paraId="13E52BFF" w14:textId="77777777" w:rsidR="00BC036A" w:rsidRDefault="00BC036A" w:rsidP="009A4F0D">
            <w:pPr>
              <w:rPr>
                <w:rFonts w:asciiTheme="minorHAnsi" w:hAnsiTheme="minorHAnsi" w:cstheme="minorHAnsi"/>
                <w:sz w:val="22"/>
                <w:szCs w:val="22"/>
              </w:rPr>
            </w:pPr>
            <w:r>
              <w:rPr>
                <w:rFonts w:asciiTheme="minorHAnsi" w:hAnsiTheme="minorHAnsi" w:cstheme="minorHAnsi"/>
                <w:sz w:val="22"/>
                <w:szCs w:val="22"/>
              </w:rPr>
              <w:t>Uwaga uwzględniona</w:t>
            </w:r>
          </w:p>
          <w:p w14:paraId="6FC63188" w14:textId="77777777" w:rsidR="00BC036A" w:rsidRDefault="00BC036A" w:rsidP="009A4F0D">
            <w:pPr>
              <w:rPr>
                <w:rFonts w:asciiTheme="minorHAnsi" w:hAnsiTheme="minorHAnsi" w:cstheme="minorHAnsi"/>
                <w:sz w:val="22"/>
                <w:szCs w:val="22"/>
              </w:rPr>
            </w:pPr>
          </w:p>
          <w:p w14:paraId="69E799C9" w14:textId="33006811" w:rsidR="000864B9" w:rsidRPr="00FE3AAD" w:rsidRDefault="00BC036A" w:rsidP="00BC036A">
            <w:pPr>
              <w:rPr>
                <w:rFonts w:asciiTheme="minorHAnsi" w:hAnsiTheme="minorHAnsi" w:cstheme="minorHAnsi"/>
                <w:sz w:val="22"/>
                <w:szCs w:val="22"/>
              </w:rPr>
            </w:pPr>
            <w:r>
              <w:rPr>
                <w:rFonts w:asciiTheme="minorHAnsi" w:hAnsiTheme="minorHAnsi" w:cstheme="minorHAnsi"/>
                <w:sz w:val="22"/>
                <w:szCs w:val="22"/>
              </w:rPr>
              <w:t xml:space="preserve">Projektowany przepis przeformułowano poprzez odwołanie do treści </w:t>
            </w:r>
            <w:r w:rsidR="00FE3AAD" w:rsidRPr="00FE3AAD">
              <w:rPr>
                <w:rFonts w:asciiTheme="minorHAnsi" w:hAnsiTheme="minorHAnsi" w:cstheme="minorHAnsi"/>
                <w:sz w:val="22"/>
                <w:szCs w:val="22"/>
              </w:rPr>
              <w:t xml:space="preserve">art. 52 ust. 6 lit. a </w:t>
            </w:r>
            <w:r>
              <w:rPr>
                <w:rFonts w:asciiTheme="minorHAnsi" w:hAnsiTheme="minorHAnsi" w:cstheme="minorHAnsi"/>
                <w:sz w:val="22"/>
                <w:szCs w:val="22"/>
              </w:rPr>
              <w:t>GBER.</w:t>
            </w:r>
          </w:p>
        </w:tc>
      </w:tr>
      <w:tr w:rsidR="000864B9" w:rsidRPr="00A06425" w14:paraId="2334DBF9" w14:textId="77777777" w:rsidTr="00965831">
        <w:tc>
          <w:tcPr>
            <w:tcW w:w="562" w:type="dxa"/>
            <w:shd w:val="clear" w:color="auto" w:fill="auto"/>
          </w:tcPr>
          <w:p w14:paraId="662812E4" w14:textId="59D587C3"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21</w:t>
            </w:r>
          </w:p>
        </w:tc>
        <w:tc>
          <w:tcPr>
            <w:tcW w:w="1134" w:type="dxa"/>
            <w:shd w:val="clear" w:color="auto" w:fill="auto"/>
          </w:tcPr>
          <w:p w14:paraId="2A69B495" w14:textId="2870A3EE"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3441865B" w14:textId="158CAC6B" w:rsidR="000864B9" w:rsidRPr="00A06425" w:rsidRDefault="00FE3AAD" w:rsidP="000864B9">
            <w:pPr>
              <w:rPr>
                <w:rFonts w:asciiTheme="minorHAnsi" w:hAnsiTheme="minorHAnsi" w:cstheme="minorHAnsi"/>
                <w:sz w:val="22"/>
                <w:szCs w:val="22"/>
              </w:rPr>
            </w:pPr>
            <w:r w:rsidRPr="00FE3AAD">
              <w:rPr>
                <w:rFonts w:asciiTheme="minorHAnsi" w:hAnsiTheme="minorHAnsi" w:cstheme="minorHAnsi"/>
                <w:sz w:val="22"/>
                <w:szCs w:val="22"/>
              </w:rPr>
              <w:t>§ 5 ust. 1</w:t>
            </w:r>
          </w:p>
        </w:tc>
        <w:tc>
          <w:tcPr>
            <w:tcW w:w="5103" w:type="dxa"/>
            <w:shd w:val="clear" w:color="auto" w:fill="auto"/>
          </w:tcPr>
          <w:p w14:paraId="41A6B61F"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Ponadto wskazać należy, że art. 52 ust. 6 lit. a rozporządzenia Komisji (UE)</w:t>
            </w:r>
          </w:p>
          <w:p w14:paraId="33A599E1"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nr 651/2014 stanowi także o udzielaniu pomocy zgodnie z założeniami przepisów</w:t>
            </w:r>
          </w:p>
          <w:p w14:paraId="730D25AD"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dotyczących zamówień publicznych, na podstawie oferty najkorzystniejszej ekonomicznie.</w:t>
            </w:r>
          </w:p>
          <w:p w14:paraId="5A6B4EFD"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Dodatkowo, stosownie do Krajowego Planu Odbudowy i Zwiększania Odporności, projekty</w:t>
            </w:r>
          </w:p>
          <w:p w14:paraId="61C2248A"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mają być wybierane do dofinansowania w trybie konkursowym.</w:t>
            </w:r>
          </w:p>
          <w:p w14:paraId="2440A674" w14:textId="52C7C5E0"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W tym kontekście zauważenia wymaga, że zarówno rozporządzenie Komisji (UE)</w:t>
            </w:r>
            <w:r>
              <w:rPr>
                <w:rFonts w:asciiTheme="minorHAnsi" w:hAnsiTheme="minorHAnsi" w:cstheme="minorHAnsi"/>
                <w:sz w:val="22"/>
                <w:szCs w:val="22"/>
              </w:rPr>
              <w:t xml:space="preserve"> </w:t>
            </w:r>
            <w:r w:rsidRPr="00B72712">
              <w:rPr>
                <w:rFonts w:asciiTheme="minorHAnsi" w:hAnsiTheme="minorHAnsi" w:cstheme="minorHAnsi"/>
                <w:sz w:val="22"/>
                <w:szCs w:val="22"/>
              </w:rPr>
              <w:t>nr 651/2014 jaki i ustawa będąca podstawą do wydania niniejszego aktu zawierają</w:t>
            </w:r>
            <w:r>
              <w:rPr>
                <w:rFonts w:asciiTheme="minorHAnsi" w:hAnsiTheme="minorHAnsi" w:cstheme="minorHAnsi"/>
                <w:sz w:val="22"/>
                <w:szCs w:val="22"/>
              </w:rPr>
              <w:t xml:space="preserve"> </w:t>
            </w:r>
            <w:r w:rsidRPr="00B72712">
              <w:rPr>
                <w:rFonts w:asciiTheme="minorHAnsi" w:hAnsiTheme="minorHAnsi" w:cstheme="minorHAnsi"/>
                <w:sz w:val="22"/>
                <w:szCs w:val="22"/>
              </w:rPr>
              <w:t>postanowienia dotyczące warunków oraz trybu oddzielania pomocy. Niemniej ustawodawca</w:t>
            </w:r>
            <w:r>
              <w:rPr>
                <w:rFonts w:asciiTheme="minorHAnsi" w:hAnsiTheme="minorHAnsi" w:cstheme="minorHAnsi"/>
                <w:sz w:val="22"/>
                <w:szCs w:val="22"/>
              </w:rPr>
              <w:t xml:space="preserve"> </w:t>
            </w:r>
            <w:r w:rsidRPr="00B72712">
              <w:rPr>
                <w:rFonts w:asciiTheme="minorHAnsi" w:hAnsiTheme="minorHAnsi" w:cstheme="minorHAnsi"/>
                <w:sz w:val="22"/>
                <w:szCs w:val="22"/>
              </w:rPr>
              <w:t>zdecydował jednak o potrzebie przekazania do uregulowania tych kwestii szczegółowo</w:t>
            </w:r>
            <w:r>
              <w:rPr>
                <w:rFonts w:asciiTheme="minorHAnsi" w:hAnsiTheme="minorHAnsi" w:cstheme="minorHAnsi"/>
                <w:sz w:val="22"/>
                <w:szCs w:val="22"/>
              </w:rPr>
              <w:t xml:space="preserve"> </w:t>
            </w:r>
            <w:r w:rsidRPr="00B72712">
              <w:rPr>
                <w:rFonts w:asciiTheme="minorHAnsi" w:hAnsiTheme="minorHAnsi" w:cstheme="minorHAnsi"/>
                <w:sz w:val="22"/>
                <w:szCs w:val="22"/>
              </w:rPr>
              <w:t>w akcie rangi podustawowej. Wobec tego organ wydający przedmiotowe rozporządzenie</w:t>
            </w:r>
            <w:r>
              <w:rPr>
                <w:rFonts w:asciiTheme="minorHAnsi" w:hAnsiTheme="minorHAnsi" w:cstheme="minorHAnsi"/>
                <w:sz w:val="22"/>
                <w:szCs w:val="22"/>
              </w:rPr>
              <w:t xml:space="preserve"> </w:t>
            </w:r>
            <w:r w:rsidRPr="00B72712">
              <w:rPr>
                <w:rFonts w:asciiTheme="minorHAnsi" w:hAnsiTheme="minorHAnsi" w:cstheme="minorHAnsi"/>
                <w:sz w:val="22"/>
                <w:szCs w:val="22"/>
              </w:rPr>
              <w:t xml:space="preserve">powinien kierować się przy wydawaniu aktu wykonawczego </w:t>
            </w:r>
            <w:r>
              <w:rPr>
                <w:rFonts w:asciiTheme="minorHAnsi" w:hAnsiTheme="minorHAnsi" w:cstheme="minorHAnsi"/>
                <w:sz w:val="22"/>
                <w:szCs w:val="22"/>
              </w:rPr>
              <w:t xml:space="preserve">potrzebą dookreślenia ww. </w:t>
            </w:r>
            <w:r w:rsidRPr="00B72712">
              <w:rPr>
                <w:rFonts w:asciiTheme="minorHAnsi" w:hAnsiTheme="minorHAnsi" w:cstheme="minorHAnsi"/>
                <w:sz w:val="22"/>
                <w:szCs w:val="22"/>
              </w:rPr>
              <w:t>zakresu spraw zgodnie z warunkami wynikającymi z programów, w związku z którymi ta</w:t>
            </w:r>
          </w:p>
          <w:p w14:paraId="5F3E7BF7" w14:textId="77777777"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pomoc jest udzielana.</w:t>
            </w:r>
          </w:p>
          <w:p w14:paraId="50CC1CCF" w14:textId="09A8B807"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W przedmiotowym projekcie nie doprecyzowuje się jednak, jaki charakter ma mieć</w:t>
            </w:r>
            <w:r>
              <w:rPr>
                <w:rFonts w:asciiTheme="minorHAnsi" w:hAnsiTheme="minorHAnsi" w:cstheme="minorHAnsi"/>
                <w:sz w:val="22"/>
                <w:szCs w:val="22"/>
              </w:rPr>
              <w:t xml:space="preserve"> </w:t>
            </w:r>
            <w:r w:rsidRPr="00B72712">
              <w:rPr>
                <w:rFonts w:asciiTheme="minorHAnsi" w:hAnsiTheme="minorHAnsi" w:cstheme="minorHAnsi"/>
                <w:sz w:val="22"/>
                <w:szCs w:val="22"/>
              </w:rPr>
              <w:t>otwarta procedura wyboru, zasadnym wydaje się więc zamieszczenie takiej informacji</w:t>
            </w:r>
            <w:r>
              <w:rPr>
                <w:rFonts w:asciiTheme="minorHAnsi" w:hAnsiTheme="minorHAnsi" w:cstheme="minorHAnsi"/>
                <w:sz w:val="22"/>
                <w:szCs w:val="22"/>
              </w:rPr>
              <w:t xml:space="preserve"> </w:t>
            </w:r>
            <w:r w:rsidRPr="00B72712">
              <w:rPr>
                <w:rFonts w:asciiTheme="minorHAnsi" w:hAnsiTheme="minorHAnsi" w:cstheme="minorHAnsi"/>
                <w:sz w:val="22"/>
                <w:szCs w:val="22"/>
              </w:rPr>
              <w:t xml:space="preserve">w opiniowanym akcie. Z drugiej </w:t>
            </w:r>
            <w:r w:rsidRPr="00B72712">
              <w:rPr>
                <w:rFonts w:asciiTheme="minorHAnsi" w:hAnsiTheme="minorHAnsi" w:cstheme="minorHAnsi"/>
                <w:sz w:val="22"/>
                <w:szCs w:val="22"/>
              </w:rPr>
              <w:lastRenderedPageBreak/>
              <w:t>strony, przewiduje się procedurę składania wniosków, nie</w:t>
            </w:r>
            <w:r>
              <w:rPr>
                <w:rFonts w:asciiTheme="minorHAnsi" w:hAnsiTheme="minorHAnsi" w:cstheme="minorHAnsi"/>
                <w:sz w:val="22"/>
                <w:szCs w:val="22"/>
              </w:rPr>
              <w:t xml:space="preserve"> </w:t>
            </w:r>
            <w:r w:rsidRPr="00B72712">
              <w:rPr>
                <w:rFonts w:asciiTheme="minorHAnsi" w:hAnsiTheme="minorHAnsi" w:cstheme="minorHAnsi"/>
                <w:sz w:val="22"/>
                <w:szCs w:val="22"/>
              </w:rPr>
              <w:t>dookreślając kwestii związanych ze składaniem wniosku o udzielenie wsparcia, o którym</w:t>
            </w:r>
            <w:r>
              <w:rPr>
                <w:rFonts w:asciiTheme="minorHAnsi" w:hAnsiTheme="minorHAnsi" w:cstheme="minorHAnsi"/>
                <w:sz w:val="22"/>
                <w:szCs w:val="22"/>
              </w:rPr>
              <w:t xml:space="preserve"> </w:t>
            </w:r>
            <w:r w:rsidRPr="00B72712">
              <w:rPr>
                <w:rFonts w:asciiTheme="minorHAnsi" w:hAnsiTheme="minorHAnsi" w:cstheme="minorHAnsi"/>
                <w:sz w:val="22"/>
                <w:szCs w:val="22"/>
              </w:rPr>
              <w:t>stanowi § 5 ust. 2 (np. terminu, sposobu składania, zawartości wniosku). O ile bowiem ustawa</w:t>
            </w:r>
            <w:r>
              <w:rPr>
                <w:rFonts w:asciiTheme="minorHAnsi" w:hAnsiTheme="minorHAnsi" w:cstheme="minorHAnsi"/>
                <w:sz w:val="22"/>
                <w:szCs w:val="22"/>
              </w:rPr>
              <w:t xml:space="preserve"> </w:t>
            </w:r>
            <w:r w:rsidRPr="00B72712">
              <w:rPr>
                <w:rFonts w:asciiTheme="minorHAnsi" w:hAnsiTheme="minorHAnsi" w:cstheme="minorHAnsi"/>
                <w:sz w:val="22"/>
                <w:szCs w:val="22"/>
              </w:rPr>
              <w:t>o zasadach prowadzenia polityki rozwoju określa szczegółowo, w art. 14lze i nast., procedurę</w:t>
            </w:r>
            <w:r>
              <w:rPr>
                <w:rFonts w:asciiTheme="minorHAnsi" w:hAnsiTheme="minorHAnsi" w:cstheme="minorHAnsi"/>
                <w:sz w:val="22"/>
                <w:szCs w:val="22"/>
              </w:rPr>
              <w:t xml:space="preserve"> </w:t>
            </w:r>
            <w:r w:rsidRPr="00B72712">
              <w:rPr>
                <w:rFonts w:asciiTheme="minorHAnsi" w:hAnsiTheme="minorHAnsi" w:cstheme="minorHAnsi"/>
                <w:sz w:val="22"/>
                <w:szCs w:val="22"/>
              </w:rPr>
              <w:t>dotyczącą składania wniosku o ponowną ocenę przedsięwzięcia, tak nie reguluje ona materii</w:t>
            </w:r>
            <w:r>
              <w:rPr>
                <w:rFonts w:asciiTheme="minorHAnsi" w:hAnsiTheme="minorHAnsi" w:cstheme="minorHAnsi"/>
                <w:sz w:val="22"/>
                <w:szCs w:val="22"/>
              </w:rPr>
              <w:t xml:space="preserve"> </w:t>
            </w:r>
            <w:r w:rsidRPr="00B72712">
              <w:rPr>
                <w:rFonts w:asciiTheme="minorHAnsi" w:hAnsiTheme="minorHAnsi" w:cstheme="minorHAnsi"/>
                <w:sz w:val="22"/>
                <w:szCs w:val="22"/>
              </w:rPr>
              <w:t xml:space="preserve">dotyczącej pierwszego wniosku o taką ocenę. </w:t>
            </w:r>
          </w:p>
        </w:tc>
        <w:tc>
          <w:tcPr>
            <w:tcW w:w="3260" w:type="dxa"/>
            <w:shd w:val="clear" w:color="auto" w:fill="auto"/>
          </w:tcPr>
          <w:p w14:paraId="7746F93D" w14:textId="7C7B4602" w:rsidR="000864B9" w:rsidRPr="00B72712" w:rsidRDefault="000864B9" w:rsidP="000864B9">
            <w:pPr>
              <w:rPr>
                <w:rFonts w:asciiTheme="minorHAnsi" w:hAnsiTheme="minorHAnsi" w:cstheme="minorHAnsi"/>
                <w:sz w:val="22"/>
                <w:szCs w:val="22"/>
              </w:rPr>
            </w:pPr>
            <w:r w:rsidRPr="00B72712">
              <w:rPr>
                <w:rFonts w:asciiTheme="minorHAnsi" w:hAnsiTheme="minorHAnsi" w:cstheme="minorHAnsi"/>
                <w:sz w:val="22"/>
                <w:szCs w:val="22"/>
              </w:rPr>
              <w:lastRenderedPageBreak/>
              <w:t>Z uwagi na powyższe zasadnym wydaje się</w:t>
            </w:r>
            <w:r>
              <w:rPr>
                <w:rFonts w:asciiTheme="minorHAnsi" w:hAnsiTheme="minorHAnsi" w:cstheme="minorHAnsi"/>
                <w:sz w:val="22"/>
                <w:szCs w:val="22"/>
              </w:rPr>
              <w:t xml:space="preserve"> </w:t>
            </w:r>
            <w:r w:rsidRPr="00B72712">
              <w:rPr>
                <w:rFonts w:asciiTheme="minorHAnsi" w:hAnsiTheme="minorHAnsi" w:cstheme="minorHAnsi"/>
                <w:sz w:val="22"/>
                <w:szCs w:val="22"/>
              </w:rPr>
              <w:t>uregulowanie tych kwestii w projekcie, tym bardziej iż rozporządzenie Komisji (UE) nr 651/2014 (art. 52 ust. 6 lit. a) wymaga ustanowienia przez organ przyznający pomoc na potrzeby konkurencyjnej procedury wyboru przejrzystych kryteriów przyznawania takiej</w:t>
            </w:r>
          </w:p>
          <w:p w14:paraId="417A238A" w14:textId="78D4A1E7"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pomocy;</w:t>
            </w:r>
          </w:p>
        </w:tc>
        <w:tc>
          <w:tcPr>
            <w:tcW w:w="3260" w:type="dxa"/>
          </w:tcPr>
          <w:p w14:paraId="21C1C847" w14:textId="77777777" w:rsidR="0037239A" w:rsidRDefault="00FE3AAD" w:rsidP="0037239A">
            <w:pPr>
              <w:rPr>
                <w:rFonts w:asciiTheme="minorHAnsi" w:hAnsiTheme="minorHAnsi" w:cstheme="minorHAnsi"/>
                <w:sz w:val="22"/>
                <w:szCs w:val="22"/>
              </w:rPr>
            </w:pPr>
            <w:r>
              <w:rPr>
                <w:rFonts w:asciiTheme="minorHAnsi" w:hAnsiTheme="minorHAnsi" w:cstheme="minorHAnsi"/>
                <w:sz w:val="22"/>
                <w:szCs w:val="22"/>
              </w:rPr>
              <w:t>Uwaga nieuwzględniona.</w:t>
            </w:r>
          </w:p>
          <w:p w14:paraId="339BB80E" w14:textId="77777777" w:rsidR="0037239A" w:rsidRDefault="0037239A" w:rsidP="0037239A">
            <w:pPr>
              <w:rPr>
                <w:rFonts w:asciiTheme="minorHAnsi" w:hAnsiTheme="minorHAnsi" w:cstheme="minorHAnsi"/>
                <w:sz w:val="22"/>
                <w:szCs w:val="22"/>
              </w:rPr>
            </w:pPr>
          </w:p>
          <w:p w14:paraId="05B24605" w14:textId="3F8C6FC5" w:rsidR="000864B9" w:rsidRPr="00A06425" w:rsidRDefault="00FE3AAD" w:rsidP="0037239A">
            <w:pPr>
              <w:rPr>
                <w:rFonts w:asciiTheme="minorHAnsi" w:hAnsiTheme="minorHAnsi" w:cstheme="minorHAnsi"/>
                <w:sz w:val="22"/>
                <w:szCs w:val="22"/>
              </w:rPr>
            </w:pPr>
            <w:r>
              <w:rPr>
                <w:rFonts w:asciiTheme="minorHAnsi" w:hAnsiTheme="minorHAnsi" w:cstheme="minorHAnsi"/>
                <w:sz w:val="22"/>
                <w:szCs w:val="22"/>
              </w:rPr>
              <w:t xml:space="preserve">Zgodnie z delegacją ustawową w rozporządzeniu określone są </w:t>
            </w:r>
            <w:r w:rsidRPr="00FE3AAD">
              <w:rPr>
                <w:rFonts w:asciiTheme="minorHAnsi" w:hAnsiTheme="minorHAnsi" w:cstheme="minorHAnsi"/>
                <w:sz w:val="22"/>
                <w:szCs w:val="22"/>
              </w:rPr>
              <w:t>szczegółowe przeznaczenie, warunki i tryb udzielania pomocy</w:t>
            </w:r>
            <w:r>
              <w:rPr>
                <w:rFonts w:asciiTheme="minorHAnsi" w:hAnsiTheme="minorHAnsi" w:cstheme="minorHAnsi"/>
                <w:sz w:val="22"/>
                <w:szCs w:val="22"/>
              </w:rPr>
              <w:t xml:space="preserve">. Tryb udzielania pomocy to tryb </w:t>
            </w:r>
            <w:r w:rsidR="0037239A">
              <w:rPr>
                <w:rFonts w:asciiTheme="minorHAnsi" w:hAnsiTheme="minorHAnsi" w:cstheme="minorHAnsi"/>
                <w:sz w:val="22"/>
                <w:szCs w:val="22"/>
              </w:rPr>
              <w:t>procedury wyboru, rozumiany w pokrewnym (względem przepisów o Krajowym Planie Odbudowy) prawodawstwie krajowym jako tryb konkursowy. W projektowanym rozporządzeniu wskazane jest,</w:t>
            </w:r>
            <w:r>
              <w:rPr>
                <w:rFonts w:asciiTheme="minorHAnsi" w:hAnsiTheme="minorHAnsi" w:cstheme="minorHAnsi"/>
                <w:sz w:val="22"/>
                <w:szCs w:val="22"/>
              </w:rPr>
              <w:t xml:space="preserve"> kto i pod jakimi warunkami może w konkursie wziąć udział, a także jaka instytucja go organizuje. </w:t>
            </w:r>
            <w:r w:rsidR="0037239A">
              <w:rPr>
                <w:rFonts w:asciiTheme="minorHAnsi" w:hAnsiTheme="minorHAnsi" w:cstheme="minorHAnsi"/>
                <w:sz w:val="22"/>
                <w:szCs w:val="22"/>
              </w:rPr>
              <w:t>Również już z</w:t>
            </w:r>
            <w:r w:rsidR="0037239A" w:rsidRPr="00BE0823">
              <w:rPr>
                <w:rFonts w:asciiTheme="minorHAnsi" w:hAnsiTheme="minorHAnsi" w:cstheme="minorHAnsi"/>
                <w:sz w:val="22"/>
                <w:szCs w:val="22"/>
              </w:rPr>
              <w:t xml:space="preserve"> pierwotnego brzmienia projektu wynika, że wsparcie (pomoc) udziela się na wniosek</w:t>
            </w:r>
            <w:r w:rsidR="0037239A">
              <w:rPr>
                <w:rFonts w:asciiTheme="minorHAnsi" w:hAnsiTheme="minorHAnsi" w:cstheme="minorHAnsi"/>
              </w:rPr>
              <w:t>, a m</w:t>
            </w:r>
            <w:r w:rsidR="0037239A" w:rsidRPr="00BE0823">
              <w:rPr>
                <w:rFonts w:asciiTheme="minorHAnsi" w:hAnsiTheme="minorHAnsi" w:cstheme="minorHAnsi"/>
                <w:sz w:val="22"/>
                <w:szCs w:val="22"/>
              </w:rPr>
              <w:t>inimalne wymagania dotyczące treści wnio</w:t>
            </w:r>
            <w:r w:rsidR="0037239A">
              <w:rPr>
                <w:rFonts w:asciiTheme="minorHAnsi" w:hAnsiTheme="minorHAnsi" w:cstheme="minorHAnsi"/>
                <w:sz w:val="22"/>
                <w:szCs w:val="22"/>
              </w:rPr>
              <w:t>sku są pośrednio definiowane w projektowanym</w:t>
            </w:r>
            <w:r w:rsidR="0037239A" w:rsidRPr="00BE0823">
              <w:rPr>
                <w:rFonts w:asciiTheme="minorHAnsi" w:hAnsiTheme="minorHAnsi" w:cstheme="minorHAnsi"/>
                <w:sz w:val="22"/>
                <w:szCs w:val="22"/>
              </w:rPr>
              <w:t xml:space="preserve"> § 4 ust. 2</w:t>
            </w:r>
            <w:r w:rsidR="0037239A">
              <w:rPr>
                <w:rFonts w:asciiTheme="minorHAnsi" w:hAnsiTheme="minorHAnsi" w:cstheme="minorHAnsi"/>
                <w:sz w:val="22"/>
                <w:szCs w:val="22"/>
              </w:rPr>
              <w:t xml:space="preserve"> (w nowym brzmieniu)</w:t>
            </w:r>
            <w:r w:rsidR="0037239A" w:rsidRPr="00BE0823">
              <w:rPr>
                <w:rFonts w:asciiTheme="minorHAnsi" w:hAnsiTheme="minorHAnsi" w:cstheme="minorHAnsi"/>
                <w:sz w:val="22"/>
                <w:szCs w:val="22"/>
              </w:rPr>
              <w:t>.</w:t>
            </w:r>
            <w:r w:rsidR="0037239A">
              <w:rPr>
                <w:rFonts w:asciiTheme="minorHAnsi" w:hAnsiTheme="minorHAnsi" w:cstheme="minorHAnsi"/>
                <w:sz w:val="22"/>
                <w:szCs w:val="22"/>
              </w:rPr>
              <w:t xml:space="preserve"> Natomiast o</w:t>
            </w:r>
            <w:r>
              <w:rPr>
                <w:rFonts w:asciiTheme="minorHAnsi" w:hAnsiTheme="minorHAnsi" w:cstheme="minorHAnsi"/>
                <w:sz w:val="22"/>
                <w:szCs w:val="22"/>
              </w:rPr>
              <w:t xml:space="preserve">kreślanie </w:t>
            </w:r>
            <w:r w:rsidR="0037239A">
              <w:rPr>
                <w:rFonts w:asciiTheme="minorHAnsi" w:hAnsiTheme="minorHAnsi" w:cstheme="minorHAnsi"/>
                <w:sz w:val="22"/>
                <w:szCs w:val="22"/>
              </w:rPr>
              <w:t xml:space="preserve">w projektowanym rozporządzeniu </w:t>
            </w:r>
            <w:r w:rsidR="0037239A">
              <w:rPr>
                <w:rFonts w:asciiTheme="minorHAnsi" w:hAnsiTheme="minorHAnsi" w:cstheme="minorHAnsi"/>
                <w:sz w:val="22"/>
                <w:szCs w:val="22"/>
              </w:rPr>
              <w:lastRenderedPageBreak/>
              <w:t xml:space="preserve">np. </w:t>
            </w:r>
            <w:r>
              <w:rPr>
                <w:rFonts w:asciiTheme="minorHAnsi" w:hAnsiTheme="minorHAnsi" w:cstheme="minorHAnsi"/>
                <w:sz w:val="22"/>
                <w:szCs w:val="22"/>
              </w:rPr>
              <w:t xml:space="preserve">kryteriów </w:t>
            </w:r>
            <w:r w:rsidR="0037239A">
              <w:rPr>
                <w:rFonts w:asciiTheme="minorHAnsi" w:hAnsiTheme="minorHAnsi" w:cstheme="minorHAnsi"/>
                <w:sz w:val="22"/>
                <w:szCs w:val="22"/>
              </w:rPr>
              <w:t xml:space="preserve">wyboru przedsięwzięć </w:t>
            </w:r>
            <w:r>
              <w:rPr>
                <w:rFonts w:asciiTheme="minorHAnsi" w:hAnsiTheme="minorHAnsi" w:cstheme="minorHAnsi"/>
                <w:sz w:val="22"/>
                <w:szCs w:val="22"/>
              </w:rPr>
              <w:t>czy też terminów nie jest zasadne</w:t>
            </w:r>
            <w:r w:rsidR="0037239A">
              <w:rPr>
                <w:rFonts w:asciiTheme="minorHAnsi" w:hAnsiTheme="minorHAnsi" w:cstheme="minorHAnsi"/>
                <w:sz w:val="22"/>
                <w:szCs w:val="22"/>
              </w:rPr>
              <w:t>,</w:t>
            </w:r>
            <w:r>
              <w:rPr>
                <w:rFonts w:asciiTheme="minorHAnsi" w:hAnsiTheme="minorHAnsi" w:cstheme="minorHAnsi"/>
                <w:sz w:val="22"/>
                <w:szCs w:val="22"/>
              </w:rPr>
              <w:t xml:space="preserve"> ponieważ </w:t>
            </w:r>
            <w:r w:rsidR="0037239A">
              <w:rPr>
                <w:rFonts w:asciiTheme="minorHAnsi" w:hAnsiTheme="minorHAnsi" w:cstheme="minorHAnsi"/>
                <w:sz w:val="22"/>
                <w:szCs w:val="22"/>
              </w:rPr>
              <w:t>te elementy mogą</w:t>
            </w:r>
            <w:r>
              <w:rPr>
                <w:rFonts w:asciiTheme="minorHAnsi" w:hAnsiTheme="minorHAnsi" w:cstheme="minorHAnsi"/>
                <w:sz w:val="22"/>
                <w:szCs w:val="22"/>
              </w:rPr>
              <w:t xml:space="preserve"> się zmien</w:t>
            </w:r>
            <w:r w:rsidR="0037239A">
              <w:rPr>
                <w:rFonts w:asciiTheme="minorHAnsi" w:hAnsiTheme="minorHAnsi" w:cstheme="minorHAnsi"/>
                <w:sz w:val="22"/>
                <w:szCs w:val="22"/>
              </w:rPr>
              <w:t>iać w poszczególnych konkursach ogłaszanych na podstawie projektowanego rozporządzenia.</w:t>
            </w:r>
          </w:p>
        </w:tc>
      </w:tr>
      <w:tr w:rsidR="000864B9" w:rsidRPr="00A06425" w14:paraId="4B5B7BA3" w14:textId="77777777" w:rsidTr="00965831">
        <w:tc>
          <w:tcPr>
            <w:tcW w:w="562" w:type="dxa"/>
            <w:shd w:val="clear" w:color="auto" w:fill="auto"/>
          </w:tcPr>
          <w:p w14:paraId="69402838" w14:textId="556A16F9"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22</w:t>
            </w:r>
          </w:p>
        </w:tc>
        <w:tc>
          <w:tcPr>
            <w:tcW w:w="1134" w:type="dxa"/>
            <w:shd w:val="clear" w:color="auto" w:fill="auto"/>
          </w:tcPr>
          <w:p w14:paraId="5D53D850" w14:textId="044DA2BA"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49E6B72" w14:textId="5BE29F48" w:rsidR="000864B9" w:rsidRPr="00A06425" w:rsidRDefault="00BD62F4" w:rsidP="000864B9">
            <w:pPr>
              <w:rPr>
                <w:rFonts w:asciiTheme="minorHAnsi" w:hAnsiTheme="minorHAnsi" w:cstheme="minorHAnsi"/>
                <w:sz w:val="22"/>
                <w:szCs w:val="22"/>
              </w:rPr>
            </w:pPr>
            <w:r w:rsidRPr="00B72712">
              <w:rPr>
                <w:rFonts w:asciiTheme="minorHAnsi" w:hAnsiTheme="minorHAnsi" w:cstheme="minorHAnsi"/>
                <w:sz w:val="22"/>
                <w:szCs w:val="22"/>
              </w:rPr>
              <w:t>w § 5 ust. 2</w:t>
            </w:r>
          </w:p>
        </w:tc>
        <w:tc>
          <w:tcPr>
            <w:tcW w:w="5103" w:type="dxa"/>
            <w:shd w:val="clear" w:color="auto" w:fill="auto"/>
          </w:tcPr>
          <w:p w14:paraId="7C8CF450" w14:textId="0B5A12C2"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odnosząc się ogólnie do warunków określonych w § 5 ust. 2 projektu, których spełnienie jest kluczowe dla udzielenia wsparcia, wskazać należy, w jaki sposób mają być one dokumentowane i weryfikowane. Z przepisu nie wynika, czy stosowne oświadczenia, deklaracje, zobowiązania mają przybrać postać załączników do wniosku (czy stanowić element zawieranej umowy), ani kto będzie sprawdzał, czy dany podmiot je spełnia (w przypadku wniosku – ewentualnie wnosił o uzupełnienie wniosku). Materia ta wymaga wyjaśnienia lub uzupełnienia.</w:t>
            </w:r>
          </w:p>
        </w:tc>
        <w:tc>
          <w:tcPr>
            <w:tcW w:w="3260" w:type="dxa"/>
            <w:shd w:val="clear" w:color="auto" w:fill="auto"/>
          </w:tcPr>
          <w:p w14:paraId="4685A3AA" w14:textId="77777777" w:rsidR="000864B9" w:rsidRPr="00A06425" w:rsidRDefault="000864B9" w:rsidP="000864B9">
            <w:pPr>
              <w:rPr>
                <w:rFonts w:asciiTheme="minorHAnsi" w:hAnsiTheme="minorHAnsi" w:cstheme="minorHAnsi"/>
                <w:sz w:val="22"/>
                <w:szCs w:val="22"/>
              </w:rPr>
            </w:pPr>
          </w:p>
        </w:tc>
        <w:tc>
          <w:tcPr>
            <w:tcW w:w="3260" w:type="dxa"/>
          </w:tcPr>
          <w:p w14:paraId="28A8A7C1" w14:textId="35F842F4" w:rsidR="0037239A" w:rsidRDefault="0037239A" w:rsidP="00BE0823">
            <w:pPr>
              <w:rPr>
                <w:rFonts w:asciiTheme="minorHAnsi" w:hAnsiTheme="minorHAnsi" w:cstheme="minorHAnsi"/>
                <w:sz w:val="22"/>
                <w:szCs w:val="22"/>
              </w:rPr>
            </w:pPr>
            <w:r>
              <w:rPr>
                <w:rFonts w:asciiTheme="minorHAnsi" w:hAnsiTheme="minorHAnsi" w:cstheme="minorHAnsi"/>
                <w:sz w:val="22"/>
                <w:szCs w:val="22"/>
              </w:rPr>
              <w:t>Uwaga uwzględniona</w:t>
            </w:r>
          </w:p>
          <w:p w14:paraId="34ED76D7" w14:textId="77777777" w:rsidR="0037239A" w:rsidRDefault="0037239A" w:rsidP="00BE0823">
            <w:pPr>
              <w:rPr>
                <w:rFonts w:asciiTheme="minorHAnsi" w:hAnsiTheme="minorHAnsi" w:cstheme="minorHAnsi"/>
                <w:sz w:val="22"/>
                <w:szCs w:val="22"/>
              </w:rPr>
            </w:pPr>
          </w:p>
          <w:p w14:paraId="0FE47B51" w14:textId="1957114B" w:rsidR="000864B9" w:rsidRPr="00A06425" w:rsidRDefault="0037239A" w:rsidP="0037239A">
            <w:pPr>
              <w:rPr>
                <w:rFonts w:asciiTheme="minorHAnsi" w:hAnsiTheme="minorHAnsi" w:cstheme="minorHAnsi"/>
                <w:sz w:val="22"/>
                <w:szCs w:val="22"/>
              </w:rPr>
            </w:pPr>
            <w:r>
              <w:rPr>
                <w:rFonts w:asciiTheme="minorHAnsi" w:hAnsiTheme="minorHAnsi" w:cstheme="minorHAnsi"/>
                <w:sz w:val="22"/>
                <w:szCs w:val="22"/>
              </w:rPr>
              <w:t>Projekt uzupełniono o przepis w brzmieniu:</w:t>
            </w:r>
            <w:r w:rsidR="001B7DF6">
              <w:rPr>
                <w:rFonts w:asciiTheme="minorHAnsi" w:hAnsiTheme="minorHAnsi" w:cstheme="minorHAnsi"/>
                <w:sz w:val="22"/>
                <w:szCs w:val="22"/>
              </w:rPr>
              <w:t xml:space="preserve"> „</w:t>
            </w:r>
            <w:r w:rsidR="00BE0823" w:rsidRPr="00BE0823">
              <w:rPr>
                <w:rFonts w:asciiTheme="minorHAnsi" w:hAnsiTheme="minorHAnsi" w:cstheme="minorHAnsi"/>
                <w:sz w:val="22"/>
                <w:szCs w:val="22"/>
              </w:rPr>
              <w:t xml:space="preserve">Spełnienie warunków, o których mowa w ust. 2 </w:t>
            </w:r>
            <w:r>
              <w:rPr>
                <w:rFonts w:asciiTheme="minorHAnsi" w:hAnsiTheme="minorHAnsi" w:cstheme="minorHAnsi"/>
                <w:sz w:val="22"/>
                <w:szCs w:val="22"/>
              </w:rPr>
              <w:t xml:space="preserve">[tj. elementów wniosku] </w:t>
            </w:r>
            <w:r w:rsidR="00BE0823" w:rsidRPr="00BE0823">
              <w:rPr>
                <w:rFonts w:asciiTheme="minorHAnsi" w:hAnsiTheme="minorHAnsi" w:cstheme="minorHAnsi"/>
                <w:sz w:val="22"/>
                <w:szCs w:val="22"/>
              </w:rPr>
              <w:t>weryfikowane jest przez podmiot, o którym mowa w § 1 ust. 2</w:t>
            </w:r>
            <w:r>
              <w:rPr>
                <w:rFonts w:asciiTheme="minorHAnsi" w:hAnsiTheme="minorHAnsi" w:cstheme="minorHAnsi"/>
                <w:sz w:val="22"/>
                <w:szCs w:val="22"/>
              </w:rPr>
              <w:t xml:space="preserve"> [tj. Centrum Projektów Polska Cyfrowa], </w:t>
            </w:r>
            <w:r w:rsidR="00BE0823" w:rsidRPr="00BE0823">
              <w:rPr>
                <w:rFonts w:asciiTheme="minorHAnsi" w:hAnsiTheme="minorHAnsi" w:cstheme="minorHAnsi"/>
                <w:sz w:val="22"/>
                <w:szCs w:val="22"/>
              </w:rPr>
              <w:t>w trakcie oceny wniosku o udzielenie pomocy na podstawie oświadczeń złożonych wraz z tym wnioskiem</w:t>
            </w:r>
            <w:r w:rsidR="001B7DF6" w:rsidRPr="001B7DF6">
              <w:rPr>
                <w:rFonts w:asciiTheme="minorHAnsi" w:hAnsiTheme="minorHAnsi" w:cstheme="minorHAnsi"/>
                <w:sz w:val="22"/>
                <w:szCs w:val="22"/>
              </w:rPr>
              <w:t>.</w:t>
            </w:r>
            <w:r>
              <w:rPr>
                <w:rFonts w:asciiTheme="minorHAnsi" w:hAnsiTheme="minorHAnsi" w:cstheme="minorHAnsi"/>
                <w:sz w:val="22"/>
                <w:szCs w:val="22"/>
              </w:rPr>
              <w:t>” Forma tych oświadczeń</w:t>
            </w:r>
            <w:r w:rsidR="001B7DF6">
              <w:rPr>
                <w:rFonts w:asciiTheme="minorHAnsi" w:hAnsiTheme="minorHAnsi" w:cstheme="minorHAnsi"/>
                <w:sz w:val="22"/>
                <w:szCs w:val="22"/>
              </w:rPr>
              <w:t xml:space="preserve"> będzie okre</w:t>
            </w:r>
            <w:r>
              <w:rPr>
                <w:rFonts w:asciiTheme="minorHAnsi" w:hAnsiTheme="minorHAnsi" w:cstheme="minorHAnsi"/>
                <w:sz w:val="22"/>
                <w:szCs w:val="22"/>
              </w:rPr>
              <w:t xml:space="preserve">ślona w ogłoszeniu o konkursie i w tym kontekście nie ma potrzeby </w:t>
            </w:r>
            <w:r w:rsidR="001B7DF6">
              <w:rPr>
                <w:rFonts w:asciiTheme="minorHAnsi" w:hAnsiTheme="minorHAnsi" w:cstheme="minorHAnsi"/>
                <w:sz w:val="22"/>
                <w:szCs w:val="22"/>
              </w:rPr>
              <w:t xml:space="preserve">szczegółowego opisywania tej kwestii w rozporządzeniu. </w:t>
            </w:r>
          </w:p>
        </w:tc>
      </w:tr>
      <w:tr w:rsidR="000864B9" w:rsidRPr="00A06425" w14:paraId="754DDCDC" w14:textId="77777777" w:rsidTr="00965831">
        <w:tc>
          <w:tcPr>
            <w:tcW w:w="562" w:type="dxa"/>
            <w:shd w:val="clear" w:color="auto" w:fill="auto"/>
          </w:tcPr>
          <w:p w14:paraId="112D3819" w14:textId="62002D64"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23</w:t>
            </w:r>
          </w:p>
        </w:tc>
        <w:tc>
          <w:tcPr>
            <w:tcW w:w="1134" w:type="dxa"/>
            <w:shd w:val="clear" w:color="auto" w:fill="auto"/>
          </w:tcPr>
          <w:p w14:paraId="0ECDBFC5" w14:textId="31687511"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642B43F" w14:textId="2456C288" w:rsidR="000864B9" w:rsidRPr="00A06425" w:rsidRDefault="00621B04" w:rsidP="000864B9">
            <w:pPr>
              <w:rPr>
                <w:rFonts w:asciiTheme="minorHAnsi" w:hAnsiTheme="minorHAnsi" w:cstheme="minorHAnsi"/>
                <w:sz w:val="22"/>
                <w:szCs w:val="22"/>
              </w:rPr>
            </w:pPr>
            <w:r w:rsidRPr="00621B04">
              <w:rPr>
                <w:rFonts w:asciiTheme="minorHAnsi" w:hAnsiTheme="minorHAnsi" w:cstheme="minorHAnsi"/>
                <w:sz w:val="22"/>
                <w:szCs w:val="22"/>
              </w:rPr>
              <w:t>§ 5 ust. 2</w:t>
            </w:r>
            <w:r w:rsidR="0028379D">
              <w:rPr>
                <w:rFonts w:asciiTheme="minorHAnsi" w:hAnsiTheme="minorHAnsi" w:cstheme="minorHAnsi"/>
                <w:sz w:val="22"/>
                <w:szCs w:val="22"/>
              </w:rPr>
              <w:t xml:space="preserve"> </w:t>
            </w:r>
          </w:p>
        </w:tc>
        <w:tc>
          <w:tcPr>
            <w:tcW w:w="5103" w:type="dxa"/>
            <w:shd w:val="clear" w:color="auto" w:fill="auto"/>
          </w:tcPr>
          <w:p w14:paraId="480999E5" w14:textId="0E62C2C6"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w § 5 ust. 2 pkt 1 stanowi się, że przedsiębiorca telekomunikacyjny czyli podmiot, o którym mowa w § 3, aby uzyskać wsparcie musi być wpisa</w:t>
            </w:r>
            <w:r>
              <w:rPr>
                <w:rFonts w:asciiTheme="minorHAnsi" w:hAnsiTheme="minorHAnsi" w:cstheme="minorHAnsi"/>
                <w:sz w:val="22"/>
                <w:szCs w:val="22"/>
              </w:rPr>
              <w:t>ny do rejestru przedsiębiorców</w:t>
            </w:r>
            <w:r w:rsidRPr="00B72712">
              <w:rPr>
                <w:rFonts w:asciiTheme="minorHAnsi" w:hAnsiTheme="minorHAnsi" w:cstheme="minorHAnsi"/>
                <w:sz w:val="22"/>
                <w:szCs w:val="22"/>
              </w:rPr>
              <w:t xml:space="preserve"> telekomunikacyjnych. Wątpliwości budzi konieczność takiego doprecyzowania – skoro, co do zasady, status przedsiębiorcy telekomunikacyjnego nabywa się po wpisie do rejestru przedsiębiorców telekomunikacyjnych (zastanowienia wymaga, czy bardziej poprawne nie byłoby udokumentowanie tego faktu przez przedstawienie zaświadczenia o wpisie do </w:t>
            </w:r>
            <w:r w:rsidRPr="00B72712">
              <w:rPr>
                <w:rFonts w:asciiTheme="minorHAnsi" w:hAnsiTheme="minorHAnsi" w:cstheme="minorHAnsi"/>
                <w:sz w:val="22"/>
                <w:szCs w:val="22"/>
              </w:rPr>
              <w:lastRenderedPageBreak/>
              <w:t>rejestru, o którym mowa w art. 11 ust. 1 Prawa telekomunikacyjnego),</w:t>
            </w:r>
          </w:p>
        </w:tc>
        <w:tc>
          <w:tcPr>
            <w:tcW w:w="3260" w:type="dxa"/>
            <w:shd w:val="clear" w:color="auto" w:fill="auto"/>
          </w:tcPr>
          <w:p w14:paraId="3361CB32" w14:textId="77777777" w:rsidR="000864B9" w:rsidRPr="00A06425" w:rsidRDefault="000864B9" w:rsidP="000864B9">
            <w:pPr>
              <w:rPr>
                <w:rFonts w:asciiTheme="minorHAnsi" w:hAnsiTheme="minorHAnsi" w:cstheme="minorHAnsi"/>
                <w:sz w:val="22"/>
                <w:szCs w:val="22"/>
              </w:rPr>
            </w:pPr>
          </w:p>
        </w:tc>
        <w:tc>
          <w:tcPr>
            <w:tcW w:w="3260" w:type="dxa"/>
          </w:tcPr>
          <w:p w14:paraId="192C50FE" w14:textId="77777777" w:rsidR="000864B9" w:rsidRDefault="0037239A" w:rsidP="0037239A">
            <w:pPr>
              <w:rPr>
                <w:rFonts w:asciiTheme="minorHAnsi" w:hAnsiTheme="minorHAnsi" w:cstheme="minorHAnsi"/>
                <w:sz w:val="22"/>
                <w:szCs w:val="22"/>
              </w:rPr>
            </w:pPr>
            <w:r>
              <w:rPr>
                <w:rFonts w:asciiTheme="minorHAnsi" w:hAnsiTheme="minorHAnsi" w:cstheme="minorHAnsi"/>
                <w:sz w:val="22"/>
                <w:szCs w:val="22"/>
              </w:rPr>
              <w:t>Uwaga uwzględniona</w:t>
            </w:r>
          </w:p>
          <w:p w14:paraId="542BE80E" w14:textId="77777777" w:rsidR="0037239A" w:rsidRDefault="0037239A" w:rsidP="0037239A">
            <w:pPr>
              <w:rPr>
                <w:rFonts w:asciiTheme="minorHAnsi" w:hAnsiTheme="minorHAnsi" w:cstheme="minorHAnsi"/>
                <w:sz w:val="22"/>
                <w:szCs w:val="22"/>
              </w:rPr>
            </w:pPr>
          </w:p>
          <w:p w14:paraId="49BD114F" w14:textId="33723B60" w:rsidR="0037239A" w:rsidRPr="00A06425" w:rsidRDefault="0037239A" w:rsidP="0037239A">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64FB8DE9" w14:textId="77777777" w:rsidTr="00965831">
        <w:tc>
          <w:tcPr>
            <w:tcW w:w="562" w:type="dxa"/>
            <w:shd w:val="clear" w:color="auto" w:fill="auto"/>
          </w:tcPr>
          <w:p w14:paraId="048A1E54" w14:textId="3BDA347D"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24</w:t>
            </w:r>
          </w:p>
        </w:tc>
        <w:tc>
          <w:tcPr>
            <w:tcW w:w="1134" w:type="dxa"/>
            <w:shd w:val="clear" w:color="auto" w:fill="auto"/>
          </w:tcPr>
          <w:p w14:paraId="41BA3430" w14:textId="0F5FC932"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1F70EDB5" w14:textId="719534C7" w:rsidR="000864B9" w:rsidRPr="00A06425" w:rsidRDefault="00621B04" w:rsidP="000864B9">
            <w:pPr>
              <w:rPr>
                <w:rFonts w:asciiTheme="minorHAnsi" w:hAnsiTheme="minorHAnsi" w:cstheme="minorHAnsi"/>
                <w:sz w:val="22"/>
                <w:szCs w:val="22"/>
              </w:rPr>
            </w:pPr>
            <w:r w:rsidRPr="00B72712">
              <w:rPr>
                <w:rFonts w:asciiTheme="minorHAnsi" w:hAnsiTheme="minorHAnsi" w:cstheme="minorHAnsi"/>
                <w:sz w:val="22"/>
                <w:szCs w:val="22"/>
              </w:rPr>
              <w:t>§ 5 ust. 2</w:t>
            </w:r>
          </w:p>
        </w:tc>
        <w:tc>
          <w:tcPr>
            <w:tcW w:w="5103" w:type="dxa"/>
            <w:shd w:val="clear" w:color="auto" w:fill="auto"/>
          </w:tcPr>
          <w:p w14:paraId="4A5BEB2E" w14:textId="54CDEA1C" w:rsidR="000864B9" w:rsidRPr="00A06425" w:rsidRDefault="000864B9" w:rsidP="000864B9">
            <w:pPr>
              <w:rPr>
                <w:rFonts w:asciiTheme="minorHAnsi" w:hAnsiTheme="minorHAnsi" w:cstheme="minorHAnsi"/>
                <w:sz w:val="22"/>
                <w:szCs w:val="22"/>
              </w:rPr>
            </w:pPr>
            <w:r>
              <w:rPr>
                <w:rFonts w:asciiTheme="minorHAnsi" w:hAnsiTheme="minorHAnsi" w:cstheme="minorHAnsi"/>
                <w:sz w:val="22"/>
                <w:szCs w:val="22"/>
              </w:rPr>
              <w:t>j</w:t>
            </w:r>
            <w:r w:rsidRPr="00B72712">
              <w:rPr>
                <w:rFonts w:asciiTheme="minorHAnsi" w:hAnsiTheme="minorHAnsi" w:cstheme="minorHAnsi"/>
                <w:sz w:val="22"/>
                <w:szCs w:val="22"/>
              </w:rPr>
              <w:t>ako, że przesądza się o konieczności złożenia wniosku i jednoczesnym spełnieniu warunków określonych w przepisie, poprawnym jest usunięcie z wyliczenia w obrębie § 5 ust. 2 warunku dotyczącego złożenia wniosku o udzielenie wsparcia przed rozpoczęciem realizacji przedsięwzięcia, i zamieszczenie tej informacji we wprowadzeniu do wyliczenia („…złożył wniosek o udzielenie wsparcia przed terminem…”),</w:t>
            </w:r>
          </w:p>
        </w:tc>
        <w:tc>
          <w:tcPr>
            <w:tcW w:w="3260" w:type="dxa"/>
            <w:shd w:val="clear" w:color="auto" w:fill="auto"/>
          </w:tcPr>
          <w:p w14:paraId="435A26EB" w14:textId="77777777" w:rsidR="000864B9" w:rsidRPr="00A06425" w:rsidRDefault="000864B9" w:rsidP="000864B9">
            <w:pPr>
              <w:rPr>
                <w:rFonts w:asciiTheme="minorHAnsi" w:hAnsiTheme="minorHAnsi" w:cstheme="minorHAnsi"/>
                <w:sz w:val="22"/>
                <w:szCs w:val="22"/>
              </w:rPr>
            </w:pPr>
          </w:p>
        </w:tc>
        <w:tc>
          <w:tcPr>
            <w:tcW w:w="3260" w:type="dxa"/>
          </w:tcPr>
          <w:p w14:paraId="405CA6FE" w14:textId="77777777" w:rsidR="000864B9" w:rsidRDefault="00621B04"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3D7F454D" w14:textId="77777777" w:rsidR="0037239A" w:rsidRDefault="0037239A" w:rsidP="000864B9">
            <w:pPr>
              <w:rPr>
                <w:rFonts w:asciiTheme="minorHAnsi" w:hAnsiTheme="minorHAnsi" w:cstheme="minorHAnsi"/>
                <w:sz w:val="22"/>
                <w:szCs w:val="22"/>
              </w:rPr>
            </w:pPr>
          </w:p>
          <w:p w14:paraId="7493CBBA" w14:textId="56926B72" w:rsidR="0037239A" w:rsidRPr="00A06425" w:rsidRDefault="0037239A" w:rsidP="000864B9">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49A235EC" w14:textId="77777777" w:rsidTr="00965831">
        <w:tc>
          <w:tcPr>
            <w:tcW w:w="562" w:type="dxa"/>
            <w:shd w:val="clear" w:color="auto" w:fill="auto"/>
          </w:tcPr>
          <w:p w14:paraId="5EF5D242" w14:textId="3D1C6D1C"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25</w:t>
            </w:r>
          </w:p>
        </w:tc>
        <w:tc>
          <w:tcPr>
            <w:tcW w:w="1134" w:type="dxa"/>
            <w:shd w:val="clear" w:color="auto" w:fill="auto"/>
          </w:tcPr>
          <w:p w14:paraId="17901049" w14:textId="68B64998"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CCD7FFD" w14:textId="39E90CD0" w:rsidR="000864B9" w:rsidRPr="00A06425" w:rsidRDefault="00621B04" w:rsidP="000864B9">
            <w:pPr>
              <w:rPr>
                <w:rFonts w:asciiTheme="minorHAnsi" w:hAnsiTheme="minorHAnsi" w:cstheme="minorHAnsi"/>
                <w:sz w:val="22"/>
                <w:szCs w:val="22"/>
              </w:rPr>
            </w:pPr>
            <w:r w:rsidRPr="00621B04">
              <w:rPr>
                <w:rFonts w:asciiTheme="minorHAnsi" w:hAnsiTheme="minorHAnsi" w:cstheme="minorHAnsi"/>
                <w:sz w:val="22"/>
                <w:szCs w:val="22"/>
              </w:rPr>
              <w:t>§ 5 ust. 2</w:t>
            </w:r>
          </w:p>
        </w:tc>
        <w:tc>
          <w:tcPr>
            <w:tcW w:w="5103" w:type="dxa"/>
            <w:shd w:val="clear" w:color="auto" w:fill="auto"/>
          </w:tcPr>
          <w:p w14:paraId="42B3BA9E" w14:textId="6B3362FE"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jeżeli w § 5 ust. 2 pkt 4 przez realizację przedsięwzięcia rozumie się rozpoczęcie jego realizacji (definiowane w słowniku pojęć), przepis powinien wprost na to wskazywać. W przeciwnym razie należy wyjaśnić, jak ma być rozumiane zobowiązanie do realizacji przedsięwzięcia, stanowiące nierozerwalny warunek udzielenia wsparcia,</w:t>
            </w:r>
          </w:p>
        </w:tc>
        <w:tc>
          <w:tcPr>
            <w:tcW w:w="3260" w:type="dxa"/>
            <w:shd w:val="clear" w:color="auto" w:fill="auto"/>
          </w:tcPr>
          <w:p w14:paraId="040B1199" w14:textId="77777777" w:rsidR="000864B9" w:rsidRPr="00A06425" w:rsidRDefault="000864B9" w:rsidP="000864B9">
            <w:pPr>
              <w:rPr>
                <w:rFonts w:asciiTheme="minorHAnsi" w:hAnsiTheme="minorHAnsi" w:cstheme="minorHAnsi"/>
                <w:sz w:val="22"/>
                <w:szCs w:val="22"/>
              </w:rPr>
            </w:pPr>
          </w:p>
        </w:tc>
        <w:tc>
          <w:tcPr>
            <w:tcW w:w="3260" w:type="dxa"/>
          </w:tcPr>
          <w:p w14:paraId="6C2C2E42" w14:textId="1E5BEDF6" w:rsidR="0078005C" w:rsidRDefault="0078005C" w:rsidP="000864B9">
            <w:pPr>
              <w:rPr>
                <w:rFonts w:asciiTheme="minorHAnsi" w:hAnsiTheme="minorHAnsi" w:cstheme="minorHAnsi"/>
                <w:sz w:val="22"/>
                <w:szCs w:val="22"/>
              </w:rPr>
            </w:pPr>
            <w:r>
              <w:rPr>
                <w:rFonts w:asciiTheme="minorHAnsi" w:hAnsiTheme="minorHAnsi" w:cstheme="minorHAnsi"/>
                <w:sz w:val="22"/>
                <w:szCs w:val="22"/>
              </w:rPr>
              <w:t>Uwaga nieuwzględniona</w:t>
            </w:r>
          </w:p>
          <w:p w14:paraId="5BD16DC0" w14:textId="77777777" w:rsidR="0078005C" w:rsidRDefault="0078005C" w:rsidP="000864B9">
            <w:pPr>
              <w:rPr>
                <w:rFonts w:asciiTheme="minorHAnsi" w:hAnsiTheme="minorHAnsi" w:cstheme="minorHAnsi"/>
                <w:sz w:val="22"/>
                <w:szCs w:val="22"/>
              </w:rPr>
            </w:pPr>
          </w:p>
          <w:p w14:paraId="37AED806" w14:textId="3D36384B" w:rsidR="000864B9" w:rsidRPr="00A06425" w:rsidRDefault="00621B04" w:rsidP="0078005C">
            <w:pPr>
              <w:rPr>
                <w:rFonts w:asciiTheme="minorHAnsi" w:hAnsiTheme="minorHAnsi" w:cstheme="minorHAnsi"/>
                <w:sz w:val="22"/>
                <w:szCs w:val="22"/>
              </w:rPr>
            </w:pPr>
            <w:r>
              <w:rPr>
                <w:rFonts w:asciiTheme="minorHAnsi" w:hAnsiTheme="minorHAnsi" w:cstheme="minorHAnsi"/>
                <w:sz w:val="22"/>
                <w:szCs w:val="22"/>
              </w:rPr>
              <w:t xml:space="preserve">Definicja rozpoczęcia realizacji przedsięwzięcia </w:t>
            </w:r>
            <w:r w:rsidR="0078005C">
              <w:rPr>
                <w:rFonts w:asciiTheme="minorHAnsi" w:hAnsiTheme="minorHAnsi" w:cstheme="minorHAnsi"/>
                <w:sz w:val="22"/>
                <w:szCs w:val="22"/>
              </w:rPr>
              <w:t>i dalsze zobowiązania w tym zakresie są niezbędne aby ocenić (w procesie udzielania pomocy),</w:t>
            </w:r>
            <w:r>
              <w:rPr>
                <w:rFonts w:asciiTheme="minorHAnsi" w:hAnsiTheme="minorHAnsi" w:cstheme="minorHAnsi"/>
                <w:sz w:val="22"/>
                <w:szCs w:val="22"/>
              </w:rPr>
              <w:t xml:space="preserve"> czy </w:t>
            </w:r>
            <w:r w:rsidR="0078005C">
              <w:rPr>
                <w:rFonts w:asciiTheme="minorHAnsi" w:hAnsiTheme="minorHAnsi" w:cstheme="minorHAnsi"/>
                <w:sz w:val="22"/>
                <w:szCs w:val="22"/>
              </w:rPr>
              <w:t xml:space="preserve">w stosunku do przedsięwzięcia </w:t>
            </w:r>
            <w:r>
              <w:rPr>
                <w:rFonts w:asciiTheme="minorHAnsi" w:hAnsiTheme="minorHAnsi" w:cstheme="minorHAnsi"/>
                <w:sz w:val="22"/>
                <w:szCs w:val="22"/>
              </w:rPr>
              <w:t>został zachowany efekt zachęty</w:t>
            </w:r>
            <w:r w:rsidR="0078005C">
              <w:rPr>
                <w:rFonts w:asciiTheme="minorHAnsi" w:hAnsiTheme="minorHAnsi" w:cstheme="minorHAnsi"/>
                <w:sz w:val="22"/>
                <w:szCs w:val="22"/>
              </w:rPr>
              <w:t>, wynikający z GBER. Natomiast d</w:t>
            </w:r>
            <w:r>
              <w:rPr>
                <w:rFonts w:asciiTheme="minorHAnsi" w:hAnsiTheme="minorHAnsi" w:cstheme="minorHAnsi"/>
                <w:sz w:val="22"/>
                <w:szCs w:val="22"/>
              </w:rPr>
              <w:t>efiniowanie realizacji przedsięwzięcia jest zbędne</w:t>
            </w:r>
            <w:r w:rsidR="0078005C">
              <w:rPr>
                <w:rFonts w:asciiTheme="minorHAnsi" w:hAnsiTheme="minorHAnsi" w:cstheme="minorHAnsi"/>
                <w:sz w:val="22"/>
                <w:szCs w:val="22"/>
              </w:rPr>
              <w:t>,</w:t>
            </w:r>
            <w:r>
              <w:rPr>
                <w:rFonts w:asciiTheme="minorHAnsi" w:hAnsiTheme="minorHAnsi" w:cstheme="minorHAnsi"/>
                <w:sz w:val="22"/>
                <w:szCs w:val="22"/>
              </w:rPr>
              <w:t xml:space="preserve"> ponieważ jest to sformułowanie powszechnie zrozumiałe. Zobowiązanie do realizacji przedsięwzięcia oznacza</w:t>
            </w:r>
            <w:r w:rsidR="0078005C">
              <w:rPr>
                <w:rFonts w:asciiTheme="minorHAnsi" w:hAnsiTheme="minorHAnsi" w:cstheme="minorHAnsi"/>
                <w:sz w:val="22"/>
                <w:szCs w:val="22"/>
              </w:rPr>
              <w:t>,</w:t>
            </w:r>
            <w:r>
              <w:rPr>
                <w:rFonts w:asciiTheme="minorHAnsi" w:hAnsiTheme="minorHAnsi" w:cstheme="minorHAnsi"/>
                <w:sz w:val="22"/>
                <w:szCs w:val="22"/>
              </w:rPr>
              <w:t xml:space="preserve"> że podmiot zobowiązuje się zrobić to</w:t>
            </w:r>
            <w:r w:rsidR="0078005C">
              <w:rPr>
                <w:rFonts w:asciiTheme="minorHAnsi" w:hAnsiTheme="minorHAnsi" w:cstheme="minorHAnsi"/>
                <w:sz w:val="22"/>
                <w:szCs w:val="22"/>
              </w:rPr>
              <w:t>, na co otrzymuje pomoc</w:t>
            </w:r>
            <w:r>
              <w:rPr>
                <w:rFonts w:asciiTheme="minorHAnsi" w:hAnsiTheme="minorHAnsi" w:cstheme="minorHAnsi"/>
                <w:sz w:val="22"/>
                <w:szCs w:val="22"/>
              </w:rPr>
              <w:t xml:space="preserve">.  </w:t>
            </w:r>
          </w:p>
        </w:tc>
      </w:tr>
      <w:tr w:rsidR="000864B9" w:rsidRPr="00A06425" w14:paraId="2798EC28" w14:textId="77777777" w:rsidTr="00965831">
        <w:tc>
          <w:tcPr>
            <w:tcW w:w="562" w:type="dxa"/>
            <w:shd w:val="clear" w:color="auto" w:fill="auto"/>
          </w:tcPr>
          <w:p w14:paraId="13F23E57" w14:textId="0692B2E0"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t>26</w:t>
            </w:r>
          </w:p>
        </w:tc>
        <w:tc>
          <w:tcPr>
            <w:tcW w:w="1134" w:type="dxa"/>
            <w:shd w:val="clear" w:color="auto" w:fill="auto"/>
          </w:tcPr>
          <w:p w14:paraId="4F4E5823" w14:textId="34324288"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B9809F7" w14:textId="528AEC5F" w:rsidR="000864B9" w:rsidRPr="00BE0823" w:rsidRDefault="00621B04" w:rsidP="000864B9">
            <w:pPr>
              <w:rPr>
                <w:rFonts w:asciiTheme="minorHAnsi" w:hAnsiTheme="minorHAnsi" w:cstheme="minorHAnsi"/>
                <w:sz w:val="22"/>
                <w:szCs w:val="22"/>
              </w:rPr>
            </w:pPr>
            <w:r w:rsidRPr="00BE0823">
              <w:rPr>
                <w:rFonts w:asciiTheme="minorHAnsi" w:hAnsiTheme="minorHAnsi" w:cstheme="minorHAnsi"/>
                <w:sz w:val="22"/>
                <w:szCs w:val="22"/>
              </w:rPr>
              <w:t>§ 5 ust. 2</w:t>
            </w:r>
          </w:p>
        </w:tc>
        <w:tc>
          <w:tcPr>
            <w:tcW w:w="5103" w:type="dxa"/>
            <w:shd w:val="clear" w:color="auto" w:fill="auto"/>
          </w:tcPr>
          <w:p w14:paraId="62C2F4A3" w14:textId="192AEB10" w:rsidR="000864B9" w:rsidRPr="00BE0823" w:rsidRDefault="000864B9" w:rsidP="000864B9">
            <w:pPr>
              <w:rPr>
                <w:rFonts w:asciiTheme="minorHAnsi" w:hAnsiTheme="minorHAnsi" w:cstheme="minorHAnsi"/>
                <w:sz w:val="22"/>
                <w:szCs w:val="22"/>
              </w:rPr>
            </w:pPr>
            <w:r w:rsidRPr="00BE0823">
              <w:rPr>
                <w:rFonts w:asciiTheme="minorHAnsi" w:hAnsiTheme="minorHAnsi" w:cstheme="minorHAnsi"/>
                <w:sz w:val="22"/>
                <w:szCs w:val="22"/>
              </w:rPr>
              <w:t xml:space="preserve">w § 5 ust. 2 pkt 6 przewidziano warunek w postaci zobowiązania się do prowadzenia ewidencji, o której mowa w art. 10 ustawy z dnia 7 maja 2010 r. o wspieraniu rozwoju usług i sieci telekomunikacyjnych (Dz. U. z 2022 r. poz. 884), przez okres 7 lat od dnia zakończenia realizacji przedsięwzięcia. Wskazany wyżej przepis ustawy stanowi o obowiązku podmiotu, który wykorzystał środki publiczne, w rozumieniu przepisów ustawy z dnia 27 sierpnia 2009 r. o finansach publicznych (Dz. U. z 2022 r. poz. 1634, z </w:t>
            </w:r>
            <w:r w:rsidRPr="00BE0823">
              <w:rPr>
                <w:rFonts w:asciiTheme="minorHAnsi" w:hAnsiTheme="minorHAnsi" w:cstheme="minorHAnsi"/>
                <w:sz w:val="22"/>
                <w:szCs w:val="22"/>
              </w:rPr>
              <w:lastRenderedPageBreak/>
              <w:t>późn. zm.), m.in. do budowy infrastruktury telekomunikacyjnej wykorzystywanej do świadczenia publicznie dostępnych usług telekomunikacyjnych lub publicznej sieci telekomunikacyjnej lub nabył prawa do takiej infrastruktury lub sieci do prowadzenia ewidencji w sposób umożliwiający odrębne obliczanie kosztów i przychodów, zysków i strat w zakresie budowy oraz nabywania praw do infrastruktury telekomunikacyjnej i sieci telekomunikacyjnych, a także działalności telekomunikacyjnej. Wymieniony wyżej przepis stanowi więc samodzielną podstawę do prowadzenia takiej ewidencji, stąd pytanie o konieczność odrębnego „zobowiązywania się” podmiotu do spełnienia tego warunku. Dodatkowo przepis projektu rozporządzenia wprowadza 7-letni termin prowadzenia takiej ewidencji, co wymaga objaśnienia, gdyż ww. ustawa o wspieraniu nie limituje podmiotu terminem,</w:t>
            </w:r>
          </w:p>
        </w:tc>
        <w:tc>
          <w:tcPr>
            <w:tcW w:w="3260" w:type="dxa"/>
            <w:shd w:val="clear" w:color="auto" w:fill="auto"/>
          </w:tcPr>
          <w:p w14:paraId="6C2FFBFC" w14:textId="77777777" w:rsidR="000864B9" w:rsidRPr="00BE0823" w:rsidRDefault="000864B9" w:rsidP="000864B9">
            <w:pPr>
              <w:rPr>
                <w:rFonts w:asciiTheme="minorHAnsi" w:hAnsiTheme="minorHAnsi" w:cstheme="minorHAnsi"/>
                <w:sz w:val="22"/>
                <w:szCs w:val="22"/>
              </w:rPr>
            </w:pPr>
          </w:p>
        </w:tc>
        <w:tc>
          <w:tcPr>
            <w:tcW w:w="3260" w:type="dxa"/>
          </w:tcPr>
          <w:p w14:paraId="641A5CF3" w14:textId="77777777" w:rsidR="000864B9" w:rsidRDefault="00BE0823" w:rsidP="000864B9">
            <w:pPr>
              <w:rPr>
                <w:rFonts w:asciiTheme="minorHAnsi" w:hAnsiTheme="minorHAnsi" w:cstheme="minorHAnsi"/>
                <w:sz w:val="22"/>
                <w:szCs w:val="22"/>
              </w:rPr>
            </w:pPr>
            <w:r w:rsidRPr="00BE0823">
              <w:rPr>
                <w:rFonts w:asciiTheme="minorHAnsi" w:hAnsiTheme="minorHAnsi" w:cstheme="minorHAnsi"/>
                <w:sz w:val="22"/>
                <w:szCs w:val="22"/>
              </w:rPr>
              <w:t>Uwaga uwzględniona</w:t>
            </w:r>
          </w:p>
          <w:p w14:paraId="626CCFF6" w14:textId="77777777" w:rsidR="0078005C" w:rsidRDefault="0078005C" w:rsidP="000864B9">
            <w:pPr>
              <w:rPr>
                <w:rFonts w:asciiTheme="minorHAnsi" w:hAnsiTheme="minorHAnsi" w:cstheme="minorHAnsi"/>
                <w:sz w:val="22"/>
                <w:szCs w:val="22"/>
              </w:rPr>
            </w:pPr>
          </w:p>
          <w:p w14:paraId="07E2EC89" w14:textId="0372E99C" w:rsidR="0078005C" w:rsidRPr="00BE0823" w:rsidRDefault="0078005C" w:rsidP="000864B9">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5D4AF2D5" w14:textId="77777777" w:rsidTr="00965831">
        <w:tc>
          <w:tcPr>
            <w:tcW w:w="562" w:type="dxa"/>
            <w:shd w:val="clear" w:color="auto" w:fill="auto"/>
          </w:tcPr>
          <w:p w14:paraId="0D7F57D9" w14:textId="44E4FDD6"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r w:rsidRPr="00965831">
              <w:rPr>
                <w:rFonts w:asciiTheme="minorHAnsi" w:hAnsiTheme="minorHAnsi" w:cstheme="minorHAnsi"/>
                <w:b/>
                <w:sz w:val="22"/>
                <w:szCs w:val="22"/>
              </w:rPr>
              <w:lastRenderedPageBreak/>
              <w:t>27</w:t>
            </w:r>
          </w:p>
        </w:tc>
        <w:tc>
          <w:tcPr>
            <w:tcW w:w="1134" w:type="dxa"/>
            <w:shd w:val="clear" w:color="auto" w:fill="auto"/>
          </w:tcPr>
          <w:p w14:paraId="6959E12B" w14:textId="072F2DFB"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38201772" w14:textId="07F687D3" w:rsidR="000864B9" w:rsidRPr="00A06425" w:rsidRDefault="00621B04" w:rsidP="000864B9">
            <w:pPr>
              <w:rPr>
                <w:rFonts w:asciiTheme="minorHAnsi" w:hAnsiTheme="minorHAnsi" w:cstheme="minorHAnsi"/>
                <w:sz w:val="22"/>
                <w:szCs w:val="22"/>
              </w:rPr>
            </w:pPr>
            <w:r w:rsidRPr="00B72712">
              <w:rPr>
                <w:rFonts w:asciiTheme="minorHAnsi" w:hAnsiTheme="minorHAnsi" w:cstheme="minorHAnsi"/>
                <w:sz w:val="22"/>
                <w:szCs w:val="22"/>
              </w:rPr>
              <w:t>§ 5 ust. 2</w:t>
            </w:r>
          </w:p>
        </w:tc>
        <w:tc>
          <w:tcPr>
            <w:tcW w:w="5103" w:type="dxa"/>
            <w:shd w:val="clear" w:color="auto" w:fill="auto"/>
          </w:tcPr>
          <w:p w14:paraId="42304EAD" w14:textId="55059634" w:rsidR="000864B9" w:rsidRPr="00A06425" w:rsidRDefault="000864B9" w:rsidP="000864B9">
            <w:pPr>
              <w:rPr>
                <w:rFonts w:asciiTheme="minorHAnsi" w:hAnsiTheme="minorHAnsi" w:cstheme="minorHAnsi"/>
                <w:sz w:val="22"/>
                <w:szCs w:val="22"/>
              </w:rPr>
            </w:pPr>
            <w:r w:rsidRPr="00B72712">
              <w:rPr>
                <w:rFonts w:asciiTheme="minorHAnsi" w:hAnsiTheme="minorHAnsi" w:cstheme="minorHAnsi"/>
                <w:sz w:val="22"/>
                <w:szCs w:val="22"/>
              </w:rPr>
              <w:t>odnosząc się do przewidzianego w § 5 ust. 2 pkt 7 projektu zobowiązania do nierealizowania w ramach przedsięwzięcia zobowiązań i obowiązków wobec podmiotów publicznych innych niż wynikające z realizacji umowy o objęcie wsparciem, podkreślić należy, iż zawarty w ustawie o zasadach prowadzenia pol</w:t>
            </w:r>
            <w:r>
              <w:rPr>
                <w:rFonts w:asciiTheme="minorHAnsi" w:hAnsiTheme="minorHAnsi" w:cstheme="minorHAnsi"/>
                <w:sz w:val="22"/>
                <w:szCs w:val="22"/>
              </w:rPr>
              <w:t xml:space="preserve">ityki rozwoju otwarty katalog </w:t>
            </w:r>
            <w:r w:rsidRPr="00B72712">
              <w:rPr>
                <w:rFonts w:asciiTheme="minorHAnsi" w:hAnsiTheme="minorHAnsi" w:cstheme="minorHAnsi"/>
                <w:sz w:val="22"/>
                <w:szCs w:val="22"/>
              </w:rPr>
              <w:t xml:space="preserve">podstawowych zasad realizacji przedsięwzięcia nie odnosi się do określania w niej takich zobowiązań i obowiązków. Z uwagi na powyższe określanie na poziomie aktu wykonawczego takich elementów umowy może spowodować wkroczenie w materię dotyczącą umów w zakresie nieuregulowanym w ustawie. Ponadto posłużenie się w przepisie zwrotem „częstotliwości radiowych” nie znajduje stricte oparcia w przepisach Prawa telekomunikacyjnego (art. 114) – ustawa posługuje się m.in. odniesieniem do rezerwacji częstotliwości na cele rozprowadzania lub rozpowszechniania programów radiofonicznych bądź na cele związane z uzyskiwaniem pozwoleń radiowych. Tym samym </w:t>
            </w:r>
            <w:r w:rsidRPr="00B72712">
              <w:rPr>
                <w:rFonts w:asciiTheme="minorHAnsi" w:hAnsiTheme="minorHAnsi" w:cstheme="minorHAnsi"/>
                <w:sz w:val="22"/>
                <w:szCs w:val="22"/>
              </w:rPr>
              <w:lastRenderedPageBreak/>
              <w:t>należy dokonać ponownej analizy</w:t>
            </w:r>
            <w:r>
              <w:rPr>
                <w:rFonts w:asciiTheme="minorHAnsi" w:hAnsiTheme="minorHAnsi" w:cstheme="minorHAnsi"/>
                <w:sz w:val="22"/>
                <w:szCs w:val="22"/>
              </w:rPr>
              <w:t xml:space="preserve"> zaproponowanej regulacji,</w:t>
            </w:r>
          </w:p>
        </w:tc>
        <w:tc>
          <w:tcPr>
            <w:tcW w:w="3260" w:type="dxa"/>
            <w:shd w:val="clear" w:color="auto" w:fill="auto"/>
          </w:tcPr>
          <w:p w14:paraId="524709A7" w14:textId="77777777" w:rsidR="000864B9" w:rsidRPr="00A06425" w:rsidRDefault="000864B9" w:rsidP="000864B9">
            <w:pPr>
              <w:rPr>
                <w:rFonts w:asciiTheme="minorHAnsi" w:hAnsiTheme="minorHAnsi" w:cstheme="minorHAnsi"/>
                <w:sz w:val="22"/>
                <w:szCs w:val="22"/>
              </w:rPr>
            </w:pPr>
          </w:p>
        </w:tc>
        <w:tc>
          <w:tcPr>
            <w:tcW w:w="3260" w:type="dxa"/>
          </w:tcPr>
          <w:p w14:paraId="517A1C04" w14:textId="5FABCA04" w:rsidR="0078005C" w:rsidRDefault="0078005C" w:rsidP="000864B9">
            <w:pPr>
              <w:rPr>
                <w:rFonts w:asciiTheme="minorHAnsi" w:hAnsiTheme="minorHAnsi" w:cstheme="minorHAnsi"/>
                <w:sz w:val="22"/>
                <w:szCs w:val="22"/>
              </w:rPr>
            </w:pPr>
            <w:r>
              <w:rPr>
                <w:rFonts w:asciiTheme="minorHAnsi" w:hAnsiTheme="minorHAnsi" w:cstheme="minorHAnsi"/>
                <w:sz w:val="22"/>
                <w:szCs w:val="22"/>
              </w:rPr>
              <w:t>Uwaga częściowo uwzględniona</w:t>
            </w:r>
          </w:p>
          <w:p w14:paraId="57A6575E" w14:textId="77777777" w:rsidR="0078005C" w:rsidRDefault="0078005C" w:rsidP="000864B9">
            <w:pPr>
              <w:rPr>
                <w:rFonts w:asciiTheme="minorHAnsi" w:hAnsiTheme="minorHAnsi" w:cstheme="minorHAnsi"/>
                <w:sz w:val="22"/>
                <w:szCs w:val="22"/>
              </w:rPr>
            </w:pPr>
          </w:p>
          <w:p w14:paraId="0A4A3E76" w14:textId="12C2548B" w:rsidR="000864B9" w:rsidRPr="00A06425" w:rsidRDefault="00FD732B" w:rsidP="0078005C">
            <w:pPr>
              <w:rPr>
                <w:rFonts w:asciiTheme="minorHAnsi" w:hAnsiTheme="minorHAnsi" w:cstheme="minorHAnsi"/>
                <w:sz w:val="22"/>
                <w:szCs w:val="22"/>
              </w:rPr>
            </w:pPr>
            <w:r>
              <w:rPr>
                <w:rFonts w:asciiTheme="minorHAnsi" w:hAnsiTheme="minorHAnsi" w:cstheme="minorHAnsi"/>
                <w:sz w:val="22"/>
                <w:szCs w:val="22"/>
              </w:rPr>
              <w:t xml:space="preserve">Oświadczenie o braku finansowania zobowiązań </w:t>
            </w:r>
            <w:r w:rsidR="0078005C">
              <w:rPr>
                <w:rFonts w:asciiTheme="minorHAnsi" w:hAnsiTheme="minorHAnsi" w:cstheme="minorHAnsi"/>
                <w:sz w:val="22"/>
                <w:szCs w:val="22"/>
              </w:rPr>
              <w:t xml:space="preserve">inwestycyjnych wnioskodawcy, wynikających z odrębnych procesów, </w:t>
            </w:r>
            <w:r>
              <w:rPr>
                <w:rFonts w:asciiTheme="minorHAnsi" w:hAnsiTheme="minorHAnsi" w:cstheme="minorHAnsi"/>
                <w:sz w:val="22"/>
                <w:szCs w:val="22"/>
              </w:rPr>
              <w:t>jest warunkiem udzielenia wsparcia</w:t>
            </w:r>
            <w:r w:rsidR="0078005C">
              <w:rPr>
                <w:rFonts w:asciiTheme="minorHAnsi" w:hAnsiTheme="minorHAnsi" w:cstheme="minorHAnsi"/>
                <w:sz w:val="22"/>
                <w:szCs w:val="22"/>
              </w:rPr>
              <w:t>, zatem stanowi element wykonania delegacji</w:t>
            </w:r>
            <w:r>
              <w:rPr>
                <w:rFonts w:asciiTheme="minorHAnsi" w:hAnsiTheme="minorHAnsi" w:cstheme="minorHAnsi"/>
                <w:sz w:val="22"/>
                <w:szCs w:val="22"/>
              </w:rPr>
              <w:t xml:space="preserve"> ustawow</w:t>
            </w:r>
            <w:r w:rsidR="0078005C">
              <w:rPr>
                <w:rFonts w:asciiTheme="minorHAnsi" w:hAnsiTheme="minorHAnsi" w:cstheme="minorHAnsi"/>
                <w:sz w:val="22"/>
                <w:szCs w:val="22"/>
              </w:rPr>
              <w:t>ej</w:t>
            </w:r>
            <w:r>
              <w:rPr>
                <w:rFonts w:asciiTheme="minorHAnsi" w:hAnsiTheme="minorHAnsi" w:cstheme="minorHAnsi"/>
                <w:sz w:val="22"/>
                <w:szCs w:val="22"/>
              </w:rPr>
              <w:t xml:space="preserve">. </w:t>
            </w:r>
            <w:r w:rsidR="0078005C">
              <w:rPr>
                <w:rFonts w:asciiTheme="minorHAnsi" w:hAnsiTheme="minorHAnsi" w:cstheme="minorHAnsi"/>
                <w:sz w:val="22"/>
                <w:szCs w:val="22"/>
              </w:rPr>
              <w:t>Jednocześnie przepis został przeformułowany w kierunku wskazanym w uwadze, poprzez odniesienie się do</w:t>
            </w:r>
            <w:r>
              <w:rPr>
                <w:rFonts w:asciiTheme="minorHAnsi" w:hAnsiTheme="minorHAnsi" w:cstheme="minorHAnsi"/>
                <w:sz w:val="22"/>
                <w:szCs w:val="22"/>
              </w:rPr>
              <w:t xml:space="preserve"> „</w:t>
            </w:r>
            <w:r w:rsidRPr="00FD732B">
              <w:rPr>
                <w:rFonts w:asciiTheme="minorHAnsi" w:hAnsiTheme="minorHAnsi" w:cstheme="minorHAnsi"/>
                <w:sz w:val="22"/>
                <w:szCs w:val="22"/>
              </w:rPr>
              <w:t>udzielonych rezerwacji częstotliwości lub zasobów orbitalnych</w:t>
            </w:r>
            <w:r>
              <w:rPr>
                <w:rFonts w:asciiTheme="minorHAnsi" w:hAnsiTheme="minorHAnsi" w:cstheme="minorHAnsi"/>
                <w:sz w:val="22"/>
                <w:szCs w:val="22"/>
              </w:rPr>
              <w:t>”.</w:t>
            </w:r>
          </w:p>
        </w:tc>
      </w:tr>
      <w:tr w:rsidR="000864B9" w:rsidRPr="00A06425" w14:paraId="16BAD26B" w14:textId="77777777" w:rsidTr="00965831">
        <w:tc>
          <w:tcPr>
            <w:tcW w:w="562" w:type="dxa"/>
            <w:shd w:val="clear" w:color="auto" w:fill="auto"/>
          </w:tcPr>
          <w:p w14:paraId="426F72C8"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48932C9C" w14:textId="3803B01B"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123413A" w14:textId="2207E2E0" w:rsidR="000864B9" w:rsidRPr="00C2188F" w:rsidRDefault="00FD732B" w:rsidP="000864B9">
            <w:pPr>
              <w:rPr>
                <w:rFonts w:asciiTheme="minorHAnsi" w:hAnsiTheme="minorHAnsi" w:cstheme="minorHAnsi"/>
                <w:sz w:val="22"/>
                <w:szCs w:val="22"/>
              </w:rPr>
            </w:pPr>
            <w:r w:rsidRPr="00C2188F">
              <w:rPr>
                <w:rFonts w:asciiTheme="minorHAnsi" w:hAnsiTheme="minorHAnsi" w:cstheme="minorHAnsi"/>
                <w:sz w:val="22"/>
                <w:szCs w:val="22"/>
              </w:rPr>
              <w:t>§ 5 ust. 2</w:t>
            </w:r>
          </w:p>
        </w:tc>
        <w:tc>
          <w:tcPr>
            <w:tcW w:w="5103" w:type="dxa"/>
            <w:shd w:val="clear" w:color="auto" w:fill="auto"/>
          </w:tcPr>
          <w:p w14:paraId="508A1EC4" w14:textId="128C8B9D" w:rsidR="000864B9" w:rsidRPr="00C2188F" w:rsidRDefault="000864B9" w:rsidP="000864B9">
            <w:pPr>
              <w:rPr>
                <w:rFonts w:asciiTheme="minorHAnsi" w:hAnsiTheme="minorHAnsi" w:cstheme="minorHAnsi"/>
                <w:sz w:val="22"/>
                <w:szCs w:val="22"/>
              </w:rPr>
            </w:pPr>
            <w:r w:rsidRPr="00C2188F">
              <w:rPr>
                <w:rFonts w:asciiTheme="minorHAnsi" w:hAnsiTheme="minorHAnsi" w:cstheme="minorHAnsi"/>
                <w:sz w:val="22"/>
                <w:szCs w:val="22"/>
              </w:rPr>
              <w:t>w § 5 ust. 2 pkt 8 projektu jako kolejny warunek, który obowiązany jest spełnić podmiot ubiegający się o wsparcie, wskazano „realizację przedsięwzięcia zgodnie z technicznymi kryteriami kwalifikacji określonymi w rozporządzeniu delegowanym Komisji (UE) 2021/2139…”. Z uwagi na fakt, iż przedmiotowe rozporządzenie unijne wymienia szereg kryteriów technicznych służących m.in. określeniu warunków, na jakich dana działalność gospodarcza kwalifikuje się jako wnosząca istotny wkład w łagodzenie zmian klimatu lub w adaptację do zmian klimatu, właściwe będzie doprecyzowanie przepisu przez wskazanie, do których kryteriów przedsięwzięcie polegające na rozwoju infrastruktury szerokopasmowej ma się odnosić. Biorąc natomiast pod uwagę wskazane zobowiązanie do ponownego użycia lub poddania recyklingowi co najmniej 70% odpadów z procesu inwestycyjnego oraz późniejszej eksploatacji sieci NGA, należy dokonać analizy poprawności takiego warunku pod kątem brzmienia regulacji Krajowego Planu Odbudowy i Zwiększania Odporności. Stanowi on bowiem w pkt C1.1.1. (Zapewnienie dostępu do bardzo szybkiego internetu na obszarach białych plam), iż w przypadku wszystkich inwestycji infrastrukturalnych „co najmniej 70% odpadów z budowy i rozbiórki musi być ponownie wykorzystana lub poddana recyklingowi, w szczególności będą uwzględnione wymagania związane z charakterystyką energetyczną, gospodarką odpadami i oceną oddziaływania na środowiskowo”. Projektowany akt stanowi natomiast o bliżej nieokreślonym „procesie inwestycyjnym”, w ramach którego powstają odpady oraz o późniejszej eksploatacji generującej takie odpady,</w:t>
            </w:r>
          </w:p>
        </w:tc>
        <w:tc>
          <w:tcPr>
            <w:tcW w:w="3260" w:type="dxa"/>
            <w:shd w:val="clear" w:color="auto" w:fill="auto"/>
          </w:tcPr>
          <w:p w14:paraId="5DCB3718" w14:textId="77777777" w:rsidR="000864B9" w:rsidRPr="00C2188F" w:rsidRDefault="000864B9" w:rsidP="000864B9">
            <w:pPr>
              <w:rPr>
                <w:rFonts w:asciiTheme="minorHAnsi" w:hAnsiTheme="minorHAnsi" w:cstheme="minorHAnsi"/>
                <w:sz w:val="22"/>
                <w:szCs w:val="22"/>
              </w:rPr>
            </w:pPr>
          </w:p>
        </w:tc>
        <w:tc>
          <w:tcPr>
            <w:tcW w:w="3260" w:type="dxa"/>
          </w:tcPr>
          <w:p w14:paraId="4E9AA5C9" w14:textId="1A603E42" w:rsidR="0078005C" w:rsidRDefault="0078005C" w:rsidP="0078005C">
            <w:pPr>
              <w:rPr>
                <w:rFonts w:asciiTheme="minorHAnsi" w:hAnsiTheme="minorHAnsi" w:cstheme="minorHAnsi"/>
                <w:sz w:val="22"/>
                <w:szCs w:val="22"/>
              </w:rPr>
            </w:pPr>
            <w:r>
              <w:rPr>
                <w:rFonts w:asciiTheme="minorHAnsi" w:hAnsiTheme="minorHAnsi" w:cstheme="minorHAnsi"/>
                <w:sz w:val="22"/>
                <w:szCs w:val="22"/>
              </w:rPr>
              <w:t>Uwaga nieuwzględniona</w:t>
            </w:r>
          </w:p>
          <w:p w14:paraId="5801B82A" w14:textId="77777777" w:rsidR="0078005C" w:rsidRDefault="0078005C" w:rsidP="0078005C">
            <w:pPr>
              <w:rPr>
                <w:rFonts w:asciiTheme="minorHAnsi" w:hAnsiTheme="minorHAnsi" w:cstheme="minorHAnsi"/>
                <w:sz w:val="22"/>
                <w:szCs w:val="22"/>
              </w:rPr>
            </w:pPr>
          </w:p>
          <w:p w14:paraId="580D7127" w14:textId="56524BED" w:rsidR="000864B9" w:rsidRPr="00C2188F" w:rsidRDefault="0078005C" w:rsidP="0078005C">
            <w:pPr>
              <w:rPr>
                <w:rFonts w:asciiTheme="minorHAnsi" w:hAnsiTheme="minorHAnsi" w:cstheme="minorHAnsi"/>
                <w:sz w:val="22"/>
                <w:szCs w:val="22"/>
              </w:rPr>
            </w:pPr>
            <w:r>
              <w:rPr>
                <w:rFonts w:asciiTheme="minorHAnsi" w:hAnsiTheme="minorHAnsi" w:cstheme="minorHAnsi"/>
                <w:sz w:val="22"/>
                <w:szCs w:val="22"/>
              </w:rPr>
              <w:t>Projektowany przepis</w:t>
            </w:r>
            <w:r w:rsidR="00C2188F" w:rsidRPr="00C2188F">
              <w:rPr>
                <w:rFonts w:asciiTheme="minorHAnsi" w:hAnsiTheme="minorHAnsi" w:cstheme="minorHAnsi"/>
                <w:sz w:val="22"/>
                <w:szCs w:val="22"/>
              </w:rPr>
              <w:t xml:space="preserve"> </w:t>
            </w:r>
            <w:r>
              <w:rPr>
                <w:rFonts w:asciiTheme="minorHAnsi" w:hAnsiTheme="minorHAnsi" w:cstheme="minorHAnsi"/>
                <w:sz w:val="22"/>
                <w:szCs w:val="22"/>
              </w:rPr>
              <w:t>koresponduje z treścią decyzji</w:t>
            </w:r>
            <w:r w:rsidR="00C2188F" w:rsidRPr="00C2188F">
              <w:rPr>
                <w:rFonts w:asciiTheme="minorHAnsi" w:hAnsiTheme="minorHAnsi" w:cstheme="minorHAnsi"/>
                <w:sz w:val="22"/>
                <w:szCs w:val="22"/>
              </w:rPr>
              <w:t xml:space="preserve"> implementacyjnej Rady U</w:t>
            </w:r>
            <w:r>
              <w:rPr>
                <w:rFonts w:asciiTheme="minorHAnsi" w:hAnsiTheme="minorHAnsi" w:cstheme="minorHAnsi"/>
                <w:sz w:val="22"/>
                <w:szCs w:val="22"/>
              </w:rPr>
              <w:t xml:space="preserve">nii </w:t>
            </w:r>
            <w:r w:rsidR="00C2188F" w:rsidRPr="00C2188F">
              <w:rPr>
                <w:rFonts w:asciiTheme="minorHAnsi" w:hAnsiTheme="minorHAnsi" w:cstheme="minorHAnsi"/>
                <w:sz w:val="22"/>
                <w:szCs w:val="22"/>
              </w:rPr>
              <w:t>E</w:t>
            </w:r>
            <w:r>
              <w:rPr>
                <w:rFonts w:asciiTheme="minorHAnsi" w:hAnsiTheme="minorHAnsi" w:cstheme="minorHAnsi"/>
                <w:sz w:val="22"/>
                <w:szCs w:val="22"/>
              </w:rPr>
              <w:t>uropejskiej w sprawie przyjęcia Krajowego Planu Odbudowy, która w zakresie projektowanego rozporządzenia, stanowiącego kamień milowy nr C1G wskazuje na zgodność przedsięwzięć z technicznymi kryteriami kwalifikacji. Natomiast dalsze d</w:t>
            </w:r>
            <w:r w:rsidR="00C2188F" w:rsidRPr="00C2188F">
              <w:rPr>
                <w:rFonts w:asciiTheme="minorHAnsi" w:hAnsiTheme="minorHAnsi" w:cstheme="minorHAnsi"/>
                <w:sz w:val="22"/>
                <w:szCs w:val="22"/>
              </w:rPr>
              <w:t>oprecyzowanie tego zobowiązania nas</w:t>
            </w:r>
            <w:r>
              <w:rPr>
                <w:rFonts w:asciiTheme="minorHAnsi" w:hAnsiTheme="minorHAnsi" w:cstheme="minorHAnsi"/>
                <w:sz w:val="22"/>
                <w:szCs w:val="22"/>
              </w:rPr>
              <w:t>tąpi w dokumentacji konkursów ogłaszanych na podstawie projektowanego rozporządzenia.</w:t>
            </w:r>
          </w:p>
        </w:tc>
      </w:tr>
      <w:tr w:rsidR="000864B9" w:rsidRPr="00A06425" w14:paraId="5F2E7A43" w14:textId="77777777" w:rsidTr="00965831">
        <w:tc>
          <w:tcPr>
            <w:tcW w:w="562" w:type="dxa"/>
            <w:shd w:val="clear" w:color="auto" w:fill="auto"/>
          </w:tcPr>
          <w:p w14:paraId="1C0F69A8"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6551266" w14:textId="0087BEF3"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8AF87A7" w14:textId="1A9E32EF" w:rsidR="000864B9" w:rsidRPr="00A06425" w:rsidRDefault="00FD732B" w:rsidP="000864B9">
            <w:pPr>
              <w:rPr>
                <w:rFonts w:asciiTheme="minorHAnsi" w:hAnsiTheme="minorHAnsi" w:cstheme="minorHAnsi"/>
                <w:sz w:val="22"/>
                <w:szCs w:val="22"/>
              </w:rPr>
            </w:pPr>
            <w:r w:rsidRPr="00A44916">
              <w:rPr>
                <w:rFonts w:asciiTheme="minorHAnsi" w:hAnsiTheme="minorHAnsi" w:cstheme="minorHAnsi"/>
                <w:sz w:val="22"/>
                <w:szCs w:val="22"/>
              </w:rPr>
              <w:t>§ 5 ust. 3</w:t>
            </w:r>
          </w:p>
        </w:tc>
        <w:tc>
          <w:tcPr>
            <w:tcW w:w="5103" w:type="dxa"/>
            <w:shd w:val="clear" w:color="auto" w:fill="auto"/>
          </w:tcPr>
          <w:p w14:paraId="60F3FF23" w14:textId="5734572D"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 xml:space="preserve">w § 5 ust. 3 projektu przewidziano możliwość dokonywania w przedsięwzięciu zmian uzasadnionych </w:t>
            </w:r>
            <w:r w:rsidRPr="00A44916">
              <w:rPr>
                <w:rFonts w:asciiTheme="minorHAnsi" w:hAnsiTheme="minorHAnsi" w:cstheme="minorHAnsi"/>
                <w:sz w:val="22"/>
                <w:szCs w:val="22"/>
              </w:rPr>
              <w:lastRenderedPageBreak/>
              <w:t>przesłankami ekonomicznymi lub technicznymi na warunkach zawartych w umowie o objęcie przedsięwzięcia wsparciem. W tej mierze podkreślić należy, iż art. 65 rozporządzenia (UE) 2021/1060 w ust. 1 lit. c – jako jedną z okoliczności zwrotu pomocy – wskazuje na „istotną zmianę wpływającą na cha</w:t>
            </w:r>
            <w:r>
              <w:rPr>
                <w:rFonts w:asciiTheme="minorHAnsi" w:hAnsiTheme="minorHAnsi" w:cstheme="minorHAnsi"/>
                <w:sz w:val="22"/>
                <w:szCs w:val="22"/>
              </w:rPr>
              <w:t>rakter operacji, jej cele lub</w:t>
            </w:r>
            <w:r w:rsidRPr="00A44916">
              <w:rPr>
                <w:rFonts w:asciiTheme="minorHAnsi" w:hAnsiTheme="minorHAnsi" w:cstheme="minorHAnsi"/>
                <w:sz w:val="22"/>
                <w:szCs w:val="22"/>
              </w:rPr>
              <w:t xml:space="preserve"> warunki wdrażania, mogącą doprowadzić do naruszenia pierwotnych celów operacji”. W związku z powyższym należy rozważyć uzupełnienie przepisu o wskazanie, że takie wprowadzane zmiany nie naruszą istoty przedsięwzięcia – bądź odpowiednio uzupełnić uzasadnienie pod ww. kątem. Jednocześnie wskazanie jako jednego z elementów umowy określenia warunków wprowadzania zmian do przedsięwzięcia, budzi wątpliwości, biorąc pod uwagę – podnoszoną już wcześniej – kwestię otwartego katalogu zasad realizacji przedsięwzięcia na poziomie ustawy;</w:t>
            </w:r>
          </w:p>
        </w:tc>
        <w:tc>
          <w:tcPr>
            <w:tcW w:w="3260" w:type="dxa"/>
            <w:shd w:val="clear" w:color="auto" w:fill="auto"/>
          </w:tcPr>
          <w:p w14:paraId="0B8FCA05" w14:textId="77777777" w:rsidR="000864B9" w:rsidRPr="00A06425" w:rsidRDefault="000864B9" w:rsidP="000864B9">
            <w:pPr>
              <w:rPr>
                <w:rFonts w:asciiTheme="minorHAnsi" w:hAnsiTheme="minorHAnsi" w:cstheme="minorHAnsi"/>
                <w:sz w:val="22"/>
                <w:szCs w:val="22"/>
              </w:rPr>
            </w:pPr>
          </w:p>
        </w:tc>
        <w:tc>
          <w:tcPr>
            <w:tcW w:w="3260" w:type="dxa"/>
          </w:tcPr>
          <w:p w14:paraId="0783B8DC" w14:textId="77777777" w:rsidR="0054501B" w:rsidRDefault="0054501B" w:rsidP="00FD732B">
            <w:pPr>
              <w:rPr>
                <w:rFonts w:asciiTheme="minorHAnsi" w:hAnsiTheme="minorHAnsi" w:cstheme="minorHAnsi"/>
                <w:sz w:val="22"/>
                <w:szCs w:val="22"/>
              </w:rPr>
            </w:pPr>
            <w:r>
              <w:rPr>
                <w:rFonts w:asciiTheme="minorHAnsi" w:hAnsiTheme="minorHAnsi" w:cstheme="minorHAnsi"/>
                <w:sz w:val="22"/>
                <w:szCs w:val="22"/>
              </w:rPr>
              <w:t>Uwaga uwzględniona</w:t>
            </w:r>
          </w:p>
          <w:p w14:paraId="2DEE8206" w14:textId="77777777" w:rsidR="0054501B" w:rsidRDefault="0054501B" w:rsidP="00FD732B">
            <w:pPr>
              <w:rPr>
                <w:rFonts w:asciiTheme="minorHAnsi" w:hAnsiTheme="minorHAnsi" w:cstheme="minorHAnsi"/>
                <w:sz w:val="22"/>
                <w:szCs w:val="22"/>
              </w:rPr>
            </w:pPr>
          </w:p>
          <w:p w14:paraId="31422353" w14:textId="1B0D030C" w:rsidR="00FD732B" w:rsidRPr="00FD732B" w:rsidRDefault="0054501B" w:rsidP="00FD732B">
            <w:pPr>
              <w:rPr>
                <w:rFonts w:asciiTheme="minorHAnsi" w:hAnsiTheme="minorHAnsi" w:cstheme="minorHAnsi"/>
                <w:bCs/>
                <w:sz w:val="22"/>
                <w:szCs w:val="22"/>
              </w:rPr>
            </w:pPr>
            <w:r>
              <w:rPr>
                <w:rFonts w:asciiTheme="minorHAnsi" w:hAnsiTheme="minorHAnsi" w:cstheme="minorHAnsi"/>
                <w:sz w:val="22"/>
                <w:szCs w:val="22"/>
              </w:rPr>
              <w:lastRenderedPageBreak/>
              <w:t>Projekt uzupełniono o przepis w brzmieniu</w:t>
            </w:r>
            <w:r w:rsidR="00FD732B">
              <w:rPr>
                <w:rFonts w:asciiTheme="minorHAnsi" w:hAnsiTheme="minorHAnsi" w:cstheme="minorHAnsi"/>
                <w:sz w:val="22"/>
                <w:szCs w:val="22"/>
              </w:rPr>
              <w:t>: „</w:t>
            </w:r>
            <w:r w:rsidR="00FD732B" w:rsidRPr="00FD732B">
              <w:rPr>
                <w:rFonts w:asciiTheme="minorHAnsi" w:hAnsiTheme="minorHAnsi" w:cstheme="minorHAnsi"/>
                <w:bCs/>
                <w:sz w:val="22"/>
                <w:szCs w:val="22"/>
              </w:rPr>
              <w:t>5. Zmiany, o których mowa w ust. 4 nie mogą naruszać istoty przedsięwzięcia zgodnie z art. 65 rozporządzenia (UE) 2021/1060 w ust. 1 lit. c.</w:t>
            </w:r>
            <w:r w:rsidR="00FD732B">
              <w:rPr>
                <w:rFonts w:asciiTheme="minorHAnsi" w:hAnsiTheme="minorHAnsi" w:cstheme="minorHAnsi"/>
                <w:bCs/>
                <w:sz w:val="22"/>
                <w:szCs w:val="22"/>
              </w:rPr>
              <w:t>”</w:t>
            </w:r>
          </w:p>
          <w:p w14:paraId="2645CF4D" w14:textId="28E1A9C8" w:rsidR="000864B9" w:rsidRPr="00A06425" w:rsidRDefault="000864B9" w:rsidP="000864B9">
            <w:pPr>
              <w:rPr>
                <w:rFonts w:asciiTheme="minorHAnsi" w:hAnsiTheme="minorHAnsi" w:cstheme="minorHAnsi"/>
                <w:sz w:val="22"/>
                <w:szCs w:val="22"/>
              </w:rPr>
            </w:pPr>
          </w:p>
        </w:tc>
      </w:tr>
      <w:tr w:rsidR="000864B9" w:rsidRPr="00A06425" w14:paraId="393A9B7D" w14:textId="77777777" w:rsidTr="00965831">
        <w:tc>
          <w:tcPr>
            <w:tcW w:w="562" w:type="dxa"/>
            <w:shd w:val="clear" w:color="auto" w:fill="auto"/>
          </w:tcPr>
          <w:p w14:paraId="0E4A70B7" w14:textId="635779F4"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58D2C76A" w14:textId="72B51A29"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9390A6C" w14:textId="5085BA38" w:rsidR="000864B9" w:rsidRPr="002C36A4" w:rsidRDefault="00AD126D" w:rsidP="000864B9">
            <w:pPr>
              <w:rPr>
                <w:rFonts w:asciiTheme="minorHAnsi" w:hAnsiTheme="minorHAnsi" w:cstheme="minorHAnsi"/>
                <w:sz w:val="22"/>
                <w:szCs w:val="22"/>
              </w:rPr>
            </w:pPr>
            <w:r w:rsidRPr="002C36A4">
              <w:rPr>
                <w:rFonts w:asciiTheme="minorHAnsi" w:hAnsiTheme="minorHAnsi" w:cstheme="minorHAnsi"/>
                <w:sz w:val="22"/>
                <w:szCs w:val="22"/>
              </w:rPr>
              <w:t>§ 6 i § 7</w:t>
            </w:r>
          </w:p>
        </w:tc>
        <w:tc>
          <w:tcPr>
            <w:tcW w:w="5103" w:type="dxa"/>
            <w:shd w:val="clear" w:color="auto" w:fill="auto"/>
          </w:tcPr>
          <w:p w14:paraId="0C518DB4" w14:textId="73F0BDC0" w:rsidR="000864B9" w:rsidRPr="002C36A4" w:rsidRDefault="000864B9" w:rsidP="000864B9">
            <w:pPr>
              <w:rPr>
                <w:rFonts w:asciiTheme="minorHAnsi" w:hAnsiTheme="minorHAnsi" w:cstheme="minorHAnsi"/>
                <w:sz w:val="22"/>
                <w:szCs w:val="22"/>
              </w:rPr>
            </w:pPr>
            <w:r w:rsidRPr="002C36A4">
              <w:rPr>
                <w:rFonts w:asciiTheme="minorHAnsi" w:hAnsiTheme="minorHAnsi" w:cstheme="minorHAnsi"/>
                <w:sz w:val="22"/>
                <w:szCs w:val="22"/>
              </w:rPr>
              <w:t>odnosząc się do projektowanego brzmienia § 6 i § 7 projektu wskazać należy, iż zgodnie z upoważnieniem ustawowym rozporządzenie ma określić – oprócz podmiotu udzielającego pomocy – jedynie szczegółowe przeznaczenie, warunki i tryb udzielania pomocy. Ponieważ przepis § 6 odnosi się maksymalnej wysokości wsparcia, jej sumowania czy sposobu obliczania jej równowartości, zaś przepis § 7 zawiera szereg szczegółowych kwestii związanych z wydatkami kwalifikującymi się do objęcia wsparciem, nie można uznać tych regulacji za wpisujące się w upoważnienie ustawowe, a tym samym – za możliwe do zamieszczenia w projektowanym akcie.</w:t>
            </w:r>
          </w:p>
        </w:tc>
        <w:tc>
          <w:tcPr>
            <w:tcW w:w="3260" w:type="dxa"/>
            <w:shd w:val="clear" w:color="auto" w:fill="auto"/>
          </w:tcPr>
          <w:p w14:paraId="2FB5FC45" w14:textId="77777777" w:rsidR="000864B9" w:rsidRPr="002C36A4" w:rsidRDefault="000864B9" w:rsidP="000864B9">
            <w:pPr>
              <w:rPr>
                <w:rFonts w:asciiTheme="minorHAnsi" w:hAnsiTheme="minorHAnsi" w:cstheme="minorHAnsi"/>
                <w:sz w:val="22"/>
                <w:szCs w:val="22"/>
              </w:rPr>
            </w:pPr>
          </w:p>
        </w:tc>
        <w:tc>
          <w:tcPr>
            <w:tcW w:w="3260" w:type="dxa"/>
          </w:tcPr>
          <w:p w14:paraId="67972951" w14:textId="77777777" w:rsidR="0054501B" w:rsidRDefault="0054501B" w:rsidP="000864B9">
            <w:pPr>
              <w:rPr>
                <w:rFonts w:asciiTheme="minorHAnsi" w:hAnsiTheme="minorHAnsi" w:cstheme="minorHAnsi"/>
                <w:sz w:val="22"/>
                <w:szCs w:val="22"/>
              </w:rPr>
            </w:pPr>
            <w:r>
              <w:rPr>
                <w:rFonts w:asciiTheme="minorHAnsi" w:hAnsiTheme="minorHAnsi" w:cstheme="minorHAnsi"/>
                <w:sz w:val="22"/>
                <w:szCs w:val="22"/>
              </w:rPr>
              <w:t>Uwaga częściowo uwzględniona</w:t>
            </w:r>
          </w:p>
          <w:p w14:paraId="1BD36F21" w14:textId="77777777" w:rsidR="0054501B" w:rsidRDefault="0054501B" w:rsidP="000864B9">
            <w:pPr>
              <w:rPr>
                <w:rFonts w:asciiTheme="minorHAnsi" w:hAnsiTheme="minorHAnsi" w:cstheme="minorHAnsi"/>
                <w:sz w:val="22"/>
                <w:szCs w:val="22"/>
              </w:rPr>
            </w:pPr>
          </w:p>
          <w:p w14:paraId="739BC0A6" w14:textId="7B14A7E3" w:rsidR="000864B9" w:rsidRPr="002C36A4" w:rsidRDefault="0054501B" w:rsidP="0054501B">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 (niemniej nie ze względu na uwagę RCL, a ze względu na planowane udzielanie pomocy w postaci stawek jednostkowych, co wyłącza konieczność weryfikacji, czy odbiorca ostateczny wsparcia ponosił wydatki kwalifikowalne)</w:t>
            </w:r>
            <w:r w:rsidR="002C36A4">
              <w:rPr>
                <w:rFonts w:asciiTheme="minorHAnsi" w:hAnsiTheme="minorHAnsi" w:cstheme="minorHAnsi"/>
                <w:sz w:val="22"/>
                <w:szCs w:val="22"/>
              </w:rPr>
              <w:t xml:space="preserve">. </w:t>
            </w:r>
            <w:r>
              <w:rPr>
                <w:rFonts w:asciiTheme="minorHAnsi" w:hAnsiTheme="minorHAnsi" w:cstheme="minorHAnsi"/>
                <w:sz w:val="22"/>
                <w:szCs w:val="22"/>
              </w:rPr>
              <w:t>Natomiast p</w:t>
            </w:r>
            <w:r w:rsidR="002C36A4">
              <w:rPr>
                <w:rFonts w:asciiTheme="minorHAnsi" w:hAnsiTheme="minorHAnsi" w:cstheme="minorHAnsi"/>
                <w:sz w:val="22"/>
                <w:szCs w:val="22"/>
              </w:rPr>
              <w:t xml:space="preserve">ozostałe </w:t>
            </w:r>
            <w:r>
              <w:rPr>
                <w:rFonts w:asciiTheme="minorHAnsi" w:hAnsiTheme="minorHAnsi" w:cstheme="minorHAnsi"/>
                <w:sz w:val="22"/>
                <w:szCs w:val="22"/>
              </w:rPr>
              <w:t xml:space="preserve">przepisy </w:t>
            </w:r>
            <w:r w:rsidR="002C36A4">
              <w:rPr>
                <w:rFonts w:asciiTheme="minorHAnsi" w:hAnsiTheme="minorHAnsi" w:cstheme="minorHAnsi"/>
                <w:sz w:val="22"/>
                <w:szCs w:val="22"/>
              </w:rPr>
              <w:t>stanowią warunki udzielenia w</w:t>
            </w:r>
            <w:r>
              <w:rPr>
                <w:rFonts w:asciiTheme="minorHAnsi" w:hAnsiTheme="minorHAnsi" w:cstheme="minorHAnsi"/>
                <w:sz w:val="22"/>
                <w:szCs w:val="22"/>
              </w:rPr>
              <w:t>sparcia i powinny zostać utrzymane</w:t>
            </w:r>
            <w:r w:rsidR="002C36A4">
              <w:rPr>
                <w:rFonts w:asciiTheme="minorHAnsi" w:hAnsiTheme="minorHAnsi" w:cstheme="minorHAnsi"/>
                <w:sz w:val="22"/>
                <w:szCs w:val="22"/>
              </w:rPr>
              <w:t xml:space="preserve"> w projekcie. </w:t>
            </w:r>
          </w:p>
        </w:tc>
      </w:tr>
      <w:tr w:rsidR="000864B9" w:rsidRPr="00A06425" w14:paraId="5C5AB258" w14:textId="77777777" w:rsidTr="00965831">
        <w:tc>
          <w:tcPr>
            <w:tcW w:w="562" w:type="dxa"/>
            <w:shd w:val="clear" w:color="auto" w:fill="auto"/>
          </w:tcPr>
          <w:p w14:paraId="1479846D" w14:textId="2D1906AE"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4DA1919" w14:textId="28B98557"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0E01A336" w14:textId="40F9D15E" w:rsidR="000864B9" w:rsidRPr="00A06425" w:rsidRDefault="00AD126D" w:rsidP="000864B9">
            <w:pPr>
              <w:rPr>
                <w:rFonts w:asciiTheme="minorHAnsi" w:hAnsiTheme="minorHAnsi" w:cstheme="minorHAnsi"/>
                <w:sz w:val="22"/>
                <w:szCs w:val="22"/>
              </w:rPr>
            </w:pPr>
            <w:r w:rsidRPr="00AD126D">
              <w:rPr>
                <w:rFonts w:asciiTheme="minorHAnsi" w:hAnsiTheme="minorHAnsi" w:cstheme="minorHAnsi"/>
                <w:sz w:val="22"/>
                <w:szCs w:val="22"/>
              </w:rPr>
              <w:t>§ 6 w ust. 1</w:t>
            </w:r>
          </w:p>
        </w:tc>
        <w:tc>
          <w:tcPr>
            <w:tcW w:w="5103" w:type="dxa"/>
            <w:shd w:val="clear" w:color="auto" w:fill="auto"/>
          </w:tcPr>
          <w:p w14:paraId="6FDEFAE6" w14:textId="16DC900A"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 xml:space="preserve">w § 6 w ust. 1 zawarto regulację, zgodnie z którą wsparcie jest udzielane zgodnie z warunkami określonymi w przepisach rozdziału I i art. 52 rozporządzenia Komisji (UE) nr 651/2014. Treść ta, nie </w:t>
            </w:r>
            <w:r w:rsidRPr="00A44916">
              <w:rPr>
                <w:rFonts w:asciiTheme="minorHAnsi" w:hAnsiTheme="minorHAnsi" w:cstheme="minorHAnsi"/>
                <w:sz w:val="22"/>
                <w:szCs w:val="22"/>
              </w:rPr>
              <w:lastRenderedPageBreak/>
              <w:t>mająca charakteru normatywnego, jest niepoprawna. Rozporządzenie Komisji (UE) nr 651/2014 jest aktem stosowanym wprost i nie ma możliwości udzielania wsparcia niezgodnie z takimi przepisami,</w:t>
            </w:r>
          </w:p>
        </w:tc>
        <w:tc>
          <w:tcPr>
            <w:tcW w:w="3260" w:type="dxa"/>
            <w:shd w:val="clear" w:color="auto" w:fill="auto"/>
          </w:tcPr>
          <w:p w14:paraId="584C30CE" w14:textId="77777777" w:rsidR="000864B9" w:rsidRPr="00A06425" w:rsidRDefault="000864B9" w:rsidP="000864B9">
            <w:pPr>
              <w:rPr>
                <w:rFonts w:asciiTheme="minorHAnsi" w:hAnsiTheme="minorHAnsi" w:cstheme="minorHAnsi"/>
                <w:sz w:val="22"/>
                <w:szCs w:val="22"/>
              </w:rPr>
            </w:pPr>
          </w:p>
        </w:tc>
        <w:tc>
          <w:tcPr>
            <w:tcW w:w="3260" w:type="dxa"/>
          </w:tcPr>
          <w:p w14:paraId="22814477" w14:textId="77777777" w:rsidR="000864B9" w:rsidRDefault="00AD126D" w:rsidP="000864B9">
            <w:pPr>
              <w:rPr>
                <w:rFonts w:asciiTheme="minorHAnsi" w:hAnsiTheme="minorHAnsi" w:cstheme="minorHAnsi"/>
                <w:sz w:val="22"/>
                <w:szCs w:val="22"/>
              </w:rPr>
            </w:pPr>
            <w:r>
              <w:rPr>
                <w:rFonts w:asciiTheme="minorHAnsi" w:hAnsiTheme="minorHAnsi" w:cstheme="minorHAnsi"/>
                <w:sz w:val="22"/>
                <w:szCs w:val="22"/>
              </w:rPr>
              <w:t>Uwaga nieuwzględniona</w:t>
            </w:r>
          </w:p>
          <w:p w14:paraId="061CC60F" w14:textId="77777777" w:rsidR="00E76B1A" w:rsidRDefault="00E76B1A" w:rsidP="000864B9">
            <w:pPr>
              <w:rPr>
                <w:rFonts w:asciiTheme="minorHAnsi" w:hAnsiTheme="minorHAnsi" w:cstheme="minorHAnsi"/>
                <w:sz w:val="22"/>
                <w:szCs w:val="22"/>
              </w:rPr>
            </w:pPr>
          </w:p>
          <w:p w14:paraId="7DF9345C" w14:textId="3FB3636D" w:rsidR="00AD126D" w:rsidRPr="00A06425" w:rsidRDefault="00AD126D" w:rsidP="00E76B1A">
            <w:pPr>
              <w:rPr>
                <w:rFonts w:asciiTheme="minorHAnsi" w:hAnsiTheme="minorHAnsi" w:cstheme="minorHAnsi"/>
                <w:sz w:val="22"/>
                <w:szCs w:val="22"/>
              </w:rPr>
            </w:pPr>
            <w:r>
              <w:rPr>
                <w:rFonts w:asciiTheme="minorHAnsi" w:hAnsiTheme="minorHAnsi" w:cstheme="minorHAnsi"/>
                <w:sz w:val="22"/>
                <w:szCs w:val="22"/>
              </w:rPr>
              <w:t xml:space="preserve">GBER zawiera szereg rożnych przeznaczeń pomocy, dla których </w:t>
            </w:r>
            <w:r>
              <w:rPr>
                <w:rFonts w:asciiTheme="minorHAnsi" w:hAnsiTheme="minorHAnsi" w:cstheme="minorHAnsi"/>
                <w:sz w:val="22"/>
                <w:szCs w:val="22"/>
              </w:rPr>
              <w:lastRenderedPageBreak/>
              <w:t>ustanawia warunki udzielania wsparcia</w:t>
            </w:r>
            <w:r w:rsidR="00E76B1A">
              <w:rPr>
                <w:rFonts w:asciiTheme="minorHAnsi" w:hAnsiTheme="minorHAnsi" w:cstheme="minorHAnsi"/>
                <w:sz w:val="22"/>
                <w:szCs w:val="22"/>
              </w:rPr>
              <w:t>, a także ogólne zasady udzielania pomocy (określone w rozdziale I), stosowane do wszystkich przeznaczeń</w:t>
            </w:r>
            <w:r>
              <w:rPr>
                <w:rFonts w:asciiTheme="minorHAnsi" w:hAnsiTheme="minorHAnsi" w:cstheme="minorHAnsi"/>
                <w:sz w:val="22"/>
                <w:szCs w:val="22"/>
              </w:rPr>
              <w:t>. W</w:t>
            </w:r>
            <w:r w:rsidR="00E76B1A">
              <w:rPr>
                <w:rFonts w:asciiTheme="minorHAnsi" w:hAnsiTheme="minorHAnsi" w:cstheme="minorHAnsi"/>
                <w:sz w:val="22"/>
                <w:szCs w:val="22"/>
              </w:rPr>
              <w:t xml:space="preserve"> związku z tym określenie w projektowanym rozporządzeniu,</w:t>
            </w:r>
            <w:r>
              <w:rPr>
                <w:rFonts w:asciiTheme="minorHAnsi" w:hAnsiTheme="minorHAnsi" w:cstheme="minorHAnsi"/>
                <w:sz w:val="22"/>
                <w:szCs w:val="22"/>
              </w:rPr>
              <w:t xml:space="preserve"> że pomoc jest udzielana w oparciu </w:t>
            </w:r>
            <w:r w:rsidR="00E76B1A">
              <w:rPr>
                <w:rFonts w:asciiTheme="minorHAnsi" w:hAnsiTheme="minorHAnsi" w:cstheme="minorHAnsi"/>
                <w:sz w:val="22"/>
                <w:szCs w:val="22"/>
              </w:rPr>
              <w:t>rozdział I i</w:t>
            </w:r>
            <w:r>
              <w:rPr>
                <w:rFonts w:asciiTheme="minorHAnsi" w:hAnsiTheme="minorHAnsi" w:cstheme="minorHAnsi"/>
                <w:sz w:val="22"/>
                <w:szCs w:val="22"/>
              </w:rPr>
              <w:t xml:space="preserve"> art. 52 </w:t>
            </w:r>
            <w:r w:rsidR="00E76B1A">
              <w:rPr>
                <w:rFonts w:asciiTheme="minorHAnsi" w:hAnsiTheme="minorHAnsi" w:cstheme="minorHAnsi"/>
                <w:sz w:val="22"/>
                <w:szCs w:val="22"/>
              </w:rPr>
              <w:t xml:space="preserve">GBER, </w:t>
            </w:r>
            <w:r>
              <w:rPr>
                <w:rFonts w:asciiTheme="minorHAnsi" w:hAnsiTheme="minorHAnsi" w:cstheme="minorHAnsi"/>
                <w:sz w:val="22"/>
                <w:szCs w:val="22"/>
              </w:rPr>
              <w:t>jest konieczne</w:t>
            </w:r>
            <w:r w:rsidR="00E76B1A">
              <w:rPr>
                <w:rFonts w:asciiTheme="minorHAnsi" w:hAnsiTheme="minorHAnsi" w:cstheme="minorHAnsi"/>
                <w:sz w:val="22"/>
                <w:szCs w:val="22"/>
              </w:rPr>
              <w:t xml:space="preserve"> i wpisuje się w duch uwag RCL, zgodnie z którymi nie należy powielać w rozporządzeniu </w:t>
            </w:r>
            <w:r w:rsidR="009743DE">
              <w:rPr>
                <w:rFonts w:asciiTheme="minorHAnsi" w:hAnsiTheme="minorHAnsi" w:cstheme="minorHAnsi"/>
                <w:sz w:val="22"/>
                <w:szCs w:val="22"/>
              </w:rPr>
              <w:t>przepisów</w:t>
            </w:r>
            <w:r w:rsidR="00E76B1A">
              <w:rPr>
                <w:rFonts w:asciiTheme="minorHAnsi" w:hAnsiTheme="minorHAnsi" w:cstheme="minorHAnsi"/>
                <w:sz w:val="22"/>
                <w:szCs w:val="22"/>
              </w:rPr>
              <w:t xml:space="preserve"> wynikających z aktów wyższego rzędu. W końcu - podmiot udzielający pomocy, wnioskodawcy oraz odbiorcy ostateczni</w:t>
            </w:r>
            <w:r>
              <w:rPr>
                <w:rFonts w:asciiTheme="minorHAnsi" w:hAnsiTheme="minorHAnsi" w:cstheme="minorHAnsi"/>
                <w:sz w:val="22"/>
                <w:szCs w:val="22"/>
              </w:rPr>
              <w:t xml:space="preserve"> muszą wiedzieć</w:t>
            </w:r>
            <w:r w:rsidR="00E76B1A">
              <w:rPr>
                <w:rFonts w:asciiTheme="minorHAnsi" w:hAnsiTheme="minorHAnsi" w:cstheme="minorHAnsi"/>
                <w:sz w:val="22"/>
                <w:szCs w:val="22"/>
              </w:rPr>
              <w:t>,</w:t>
            </w:r>
            <w:r>
              <w:rPr>
                <w:rFonts w:asciiTheme="minorHAnsi" w:hAnsiTheme="minorHAnsi" w:cstheme="minorHAnsi"/>
                <w:sz w:val="22"/>
                <w:szCs w:val="22"/>
              </w:rPr>
              <w:t xml:space="preserve"> jaki rodzaj pomocy jest udzielany i w konsekwencji jakie są </w:t>
            </w:r>
            <w:r w:rsidR="00E76B1A">
              <w:rPr>
                <w:rFonts w:asciiTheme="minorHAnsi" w:hAnsiTheme="minorHAnsi" w:cstheme="minorHAnsi"/>
                <w:sz w:val="22"/>
                <w:szCs w:val="22"/>
              </w:rPr>
              <w:t xml:space="preserve">ogólne </w:t>
            </w:r>
            <w:r>
              <w:rPr>
                <w:rFonts w:asciiTheme="minorHAnsi" w:hAnsiTheme="minorHAnsi" w:cstheme="minorHAnsi"/>
                <w:sz w:val="22"/>
                <w:szCs w:val="22"/>
              </w:rPr>
              <w:t xml:space="preserve">warunki jej otrzymania. </w:t>
            </w:r>
          </w:p>
        </w:tc>
      </w:tr>
      <w:tr w:rsidR="000864B9" w:rsidRPr="00A06425" w14:paraId="5796BF8D" w14:textId="77777777" w:rsidTr="00965831">
        <w:tc>
          <w:tcPr>
            <w:tcW w:w="562" w:type="dxa"/>
            <w:shd w:val="clear" w:color="auto" w:fill="auto"/>
          </w:tcPr>
          <w:p w14:paraId="47F9DA25" w14:textId="542C4F83"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57329CF9" w14:textId="703D35F1"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4BBCED00" w14:textId="335C217A" w:rsidR="000864B9" w:rsidRPr="00A06425" w:rsidRDefault="00A04361" w:rsidP="000864B9">
            <w:pPr>
              <w:rPr>
                <w:rFonts w:asciiTheme="minorHAnsi" w:hAnsiTheme="minorHAnsi" w:cstheme="minorHAnsi"/>
                <w:sz w:val="22"/>
                <w:szCs w:val="22"/>
              </w:rPr>
            </w:pPr>
            <w:r w:rsidRPr="00A04361">
              <w:rPr>
                <w:rFonts w:asciiTheme="minorHAnsi" w:hAnsiTheme="minorHAnsi" w:cstheme="minorHAnsi"/>
                <w:sz w:val="22"/>
                <w:szCs w:val="22"/>
              </w:rPr>
              <w:t>§ 6 ust. 3</w:t>
            </w:r>
          </w:p>
        </w:tc>
        <w:tc>
          <w:tcPr>
            <w:tcW w:w="5103" w:type="dxa"/>
            <w:shd w:val="clear" w:color="auto" w:fill="auto"/>
          </w:tcPr>
          <w:p w14:paraId="43A42AD1" w14:textId="77777777" w:rsidR="000864B9" w:rsidRPr="00A44916"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w § 6 ust. 3 zawarto odesłanie do średniego dziennego kursu euro „ustalonego” przez</w:t>
            </w:r>
          </w:p>
          <w:p w14:paraId="29DCEC19" w14:textId="451748EA" w:rsidR="000864B9" w:rsidRPr="00B72712" w:rsidRDefault="000864B9" w:rsidP="00A04361">
            <w:pPr>
              <w:rPr>
                <w:rFonts w:asciiTheme="minorHAnsi" w:hAnsiTheme="minorHAnsi" w:cstheme="minorHAnsi"/>
                <w:sz w:val="22"/>
                <w:szCs w:val="22"/>
              </w:rPr>
            </w:pPr>
            <w:r w:rsidRPr="00A44916">
              <w:rPr>
                <w:rFonts w:asciiTheme="minorHAnsi" w:hAnsiTheme="minorHAnsi" w:cstheme="minorHAnsi"/>
                <w:sz w:val="22"/>
                <w:szCs w:val="22"/>
              </w:rPr>
              <w:t>Narodowy Bank Polski w dniu udzielenia pomocy. Jako że B</w:t>
            </w:r>
            <w:r w:rsidR="00A04361">
              <w:rPr>
                <w:rFonts w:asciiTheme="minorHAnsi" w:hAnsiTheme="minorHAnsi" w:cstheme="minorHAnsi"/>
                <w:sz w:val="22"/>
                <w:szCs w:val="22"/>
              </w:rPr>
              <w:t xml:space="preserve">ank nie tylko ustala, lecz także </w:t>
            </w:r>
            <w:r w:rsidRPr="00A44916">
              <w:rPr>
                <w:rFonts w:asciiTheme="minorHAnsi" w:hAnsiTheme="minorHAnsi" w:cstheme="minorHAnsi"/>
                <w:sz w:val="22"/>
                <w:szCs w:val="22"/>
              </w:rPr>
              <w:t>ogłasza (art. 24 ust. 3 ustawy z dnia 29 sierpnia 1997 r. o NBP; Dz. U. z 2022 r. poz. 492,</w:t>
            </w:r>
            <w:r w:rsidR="00A04361">
              <w:rPr>
                <w:rFonts w:asciiTheme="minorHAnsi" w:hAnsiTheme="minorHAnsi" w:cstheme="minorHAnsi"/>
                <w:sz w:val="22"/>
                <w:szCs w:val="22"/>
              </w:rPr>
              <w:t xml:space="preserve"> </w:t>
            </w:r>
            <w:r w:rsidRPr="00A44916">
              <w:rPr>
                <w:rFonts w:asciiTheme="minorHAnsi" w:hAnsiTheme="minorHAnsi" w:cstheme="minorHAnsi"/>
                <w:sz w:val="22"/>
                <w:szCs w:val="22"/>
              </w:rPr>
              <w:t>z późn. zm.) średnie kursy walut obcych na swojej stronie internetowej, w przepisie posłużyć</w:t>
            </w:r>
            <w:r w:rsidR="00A04361">
              <w:rPr>
                <w:rFonts w:asciiTheme="minorHAnsi" w:hAnsiTheme="minorHAnsi" w:cstheme="minorHAnsi"/>
                <w:sz w:val="22"/>
                <w:szCs w:val="22"/>
              </w:rPr>
              <w:t xml:space="preserve"> </w:t>
            </w:r>
            <w:r w:rsidRPr="00A44916">
              <w:rPr>
                <w:rFonts w:asciiTheme="minorHAnsi" w:hAnsiTheme="minorHAnsi" w:cstheme="minorHAnsi"/>
                <w:sz w:val="22"/>
                <w:szCs w:val="22"/>
              </w:rPr>
              <w:t>należy się odniesieniem do ogłoszenia a nie jedynie do faktu podjęcia określonych ustaleń,</w:t>
            </w:r>
          </w:p>
        </w:tc>
        <w:tc>
          <w:tcPr>
            <w:tcW w:w="3260" w:type="dxa"/>
            <w:shd w:val="clear" w:color="auto" w:fill="auto"/>
          </w:tcPr>
          <w:p w14:paraId="1B5A3F6B" w14:textId="77777777" w:rsidR="000864B9" w:rsidRPr="00A06425" w:rsidRDefault="000864B9" w:rsidP="000864B9">
            <w:pPr>
              <w:rPr>
                <w:rFonts w:asciiTheme="minorHAnsi" w:hAnsiTheme="minorHAnsi" w:cstheme="minorHAnsi"/>
                <w:sz w:val="22"/>
                <w:szCs w:val="22"/>
              </w:rPr>
            </w:pPr>
          </w:p>
        </w:tc>
        <w:tc>
          <w:tcPr>
            <w:tcW w:w="3260" w:type="dxa"/>
          </w:tcPr>
          <w:p w14:paraId="313EC3B0" w14:textId="77777777" w:rsidR="000864B9" w:rsidRDefault="00A04361"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4FE60037" w14:textId="77777777" w:rsidR="00065504" w:rsidRDefault="00065504" w:rsidP="000864B9">
            <w:pPr>
              <w:rPr>
                <w:rFonts w:asciiTheme="minorHAnsi" w:hAnsiTheme="minorHAnsi" w:cstheme="minorHAnsi"/>
                <w:sz w:val="22"/>
                <w:szCs w:val="22"/>
              </w:rPr>
            </w:pPr>
          </w:p>
          <w:p w14:paraId="703FB885" w14:textId="45A3308C" w:rsidR="00065504" w:rsidRPr="00A06425" w:rsidRDefault="00065504" w:rsidP="000864B9">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4E813869" w14:textId="77777777" w:rsidTr="00965831">
        <w:tc>
          <w:tcPr>
            <w:tcW w:w="562" w:type="dxa"/>
            <w:shd w:val="clear" w:color="auto" w:fill="auto"/>
          </w:tcPr>
          <w:p w14:paraId="518C0FA5"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05411E9D" w14:textId="774B487F"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E400F34" w14:textId="48FFCDB0" w:rsidR="000864B9" w:rsidRPr="00A06425" w:rsidRDefault="00647C82" w:rsidP="000864B9">
            <w:pPr>
              <w:rPr>
                <w:rFonts w:asciiTheme="minorHAnsi" w:hAnsiTheme="minorHAnsi" w:cstheme="minorHAnsi"/>
                <w:sz w:val="22"/>
                <w:szCs w:val="22"/>
              </w:rPr>
            </w:pPr>
            <w:r w:rsidRPr="00647C82">
              <w:rPr>
                <w:rFonts w:asciiTheme="minorHAnsi" w:hAnsiTheme="minorHAnsi" w:cstheme="minorHAnsi"/>
                <w:sz w:val="22"/>
                <w:szCs w:val="22"/>
              </w:rPr>
              <w:t>§ 7 ust. 1</w:t>
            </w:r>
          </w:p>
        </w:tc>
        <w:tc>
          <w:tcPr>
            <w:tcW w:w="5103" w:type="dxa"/>
            <w:shd w:val="clear" w:color="auto" w:fill="auto"/>
          </w:tcPr>
          <w:p w14:paraId="6A941122" w14:textId="4A099A3D"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zgodnie z ar</w:t>
            </w:r>
            <w:r w:rsidR="00647C82">
              <w:rPr>
                <w:rFonts w:asciiTheme="minorHAnsi" w:hAnsiTheme="minorHAnsi" w:cstheme="minorHAnsi"/>
                <w:sz w:val="22"/>
                <w:szCs w:val="22"/>
              </w:rPr>
              <w:t>t</w:t>
            </w:r>
            <w:r w:rsidRPr="00A44916">
              <w:rPr>
                <w:rFonts w:asciiTheme="minorHAnsi" w:hAnsiTheme="minorHAnsi" w:cstheme="minorHAnsi"/>
                <w:sz w:val="22"/>
                <w:szCs w:val="22"/>
              </w:rPr>
              <w:t xml:space="preserve">. 14lzh ust. 2 pkt 5 ustawy o zasadach prowadzenia polityki rozwoju, umowa o objęcie przedsięwzięcia wsparciem bezzwrotnym z planu rozwojowego określa zasady realizacji przedsięwzięcia, w tym w szczególności termin i sposób rozliczenia przedsięwzięcia oraz ewentualnych zaliczek. W projektowanym § 7 ust. 1 pkt 3 stanowi się natomiast o wydatkach kwalifikujących się do objęcia </w:t>
            </w:r>
            <w:r w:rsidRPr="00A44916">
              <w:rPr>
                <w:rFonts w:asciiTheme="minorHAnsi" w:hAnsiTheme="minorHAnsi" w:cstheme="minorHAnsi"/>
                <w:sz w:val="22"/>
                <w:szCs w:val="22"/>
              </w:rPr>
              <w:lastRenderedPageBreak/>
              <w:t>wsparciem, możliwych do poświadczenia, refundacji lub rozliczenia – „w trybie i na warunkach” określonych w umowie o objecie przedsięwzięcia wsparciem. W związku z tym przepis powinien zostać poddany analizie pod kątem zgodności z ww. materią ustawową,</w:t>
            </w:r>
          </w:p>
        </w:tc>
        <w:tc>
          <w:tcPr>
            <w:tcW w:w="3260" w:type="dxa"/>
            <w:shd w:val="clear" w:color="auto" w:fill="auto"/>
          </w:tcPr>
          <w:p w14:paraId="4D623DFC" w14:textId="77777777" w:rsidR="000864B9" w:rsidRPr="00A06425" w:rsidRDefault="000864B9" w:rsidP="000864B9">
            <w:pPr>
              <w:rPr>
                <w:rFonts w:asciiTheme="minorHAnsi" w:hAnsiTheme="minorHAnsi" w:cstheme="minorHAnsi"/>
                <w:sz w:val="22"/>
                <w:szCs w:val="22"/>
              </w:rPr>
            </w:pPr>
          </w:p>
        </w:tc>
        <w:tc>
          <w:tcPr>
            <w:tcW w:w="3260" w:type="dxa"/>
          </w:tcPr>
          <w:p w14:paraId="37A5DF10" w14:textId="77777777" w:rsidR="000864B9" w:rsidRDefault="00704204" w:rsidP="00065504">
            <w:pPr>
              <w:rPr>
                <w:rFonts w:asciiTheme="minorHAnsi" w:hAnsiTheme="minorHAnsi" w:cstheme="minorHAnsi"/>
                <w:sz w:val="22"/>
                <w:szCs w:val="22"/>
              </w:rPr>
            </w:pPr>
            <w:r>
              <w:rPr>
                <w:rFonts w:asciiTheme="minorHAnsi" w:hAnsiTheme="minorHAnsi" w:cstheme="minorHAnsi"/>
                <w:sz w:val="22"/>
                <w:szCs w:val="22"/>
              </w:rPr>
              <w:t>Uwaga</w:t>
            </w:r>
            <w:r w:rsidR="00065504">
              <w:rPr>
                <w:rFonts w:asciiTheme="minorHAnsi" w:hAnsiTheme="minorHAnsi" w:cstheme="minorHAnsi"/>
                <w:sz w:val="22"/>
                <w:szCs w:val="22"/>
              </w:rPr>
              <w:t xml:space="preserve"> nieaktualna</w:t>
            </w:r>
          </w:p>
          <w:p w14:paraId="39818282" w14:textId="77777777" w:rsidR="00065504" w:rsidRDefault="00065504" w:rsidP="00065504">
            <w:pPr>
              <w:rPr>
                <w:rFonts w:asciiTheme="minorHAnsi" w:hAnsiTheme="minorHAnsi" w:cstheme="minorHAnsi"/>
                <w:sz w:val="22"/>
                <w:szCs w:val="22"/>
              </w:rPr>
            </w:pPr>
          </w:p>
          <w:p w14:paraId="4CF0D752" w14:textId="387878BD" w:rsidR="00065504" w:rsidRPr="00A06425"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1A59EEE0" w14:textId="77777777" w:rsidTr="00965831">
        <w:tc>
          <w:tcPr>
            <w:tcW w:w="562" w:type="dxa"/>
            <w:shd w:val="clear" w:color="auto" w:fill="auto"/>
          </w:tcPr>
          <w:p w14:paraId="1D005579" w14:textId="716B3948"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30DBBCA7" w14:textId="1E292A59"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8E12742" w14:textId="1164264D" w:rsidR="000864B9" w:rsidRPr="00A06425" w:rsidRDefault="002C36A4" w:rsidP="000864B9">
            <w:pPr>
              <w:rPr>
                <w:rFonts w:asciiTheme="minorHAnsi" w:hAnsiTheme="minorHAnsi" w:cstheme="minorHAnsi"/>
                <w:sz w:val="22"/>
                <w:szCs w:val="22"/>
              </w:rPr>
            </w:pPr>
            <w:r w:rsidRPr="00A44916">
              <w:rPr>
                <w:rFonts w:asciiTheme="minorHAnsi" w:hAnsiTheme="minorHAnsi" w:cstheme="minorHAnsi"/>
                <w:sz w:val="22"/>
                <w:szCs w:val="22"/>
              </w:rPr>
              <w:t>§ 7 ust. 4</w:t>
            </w:r>
          </w:p>
        </w:tc>
        <w:tc>
          <w:tcPr>
            <w:tcW w:w="5103" w:type="dxa"/>
            <w:shd w:val="clear" w:color="auto" w:fill="auto"/>
          </w:tcPr>
          <w:p w14:paraId="70AC11F3" w14:textId="7E373F75"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przepis § 7 ust. 4 pkt 5 projektu odnosi się do jednego z wydatków kwalifikujących się do objęcia w wsparciem w postaci kosztów najmu, dzierżawy, leasingu elementów infrastruktury elektroenergetycznej, sanitarnej, wodociągowej oraz kanałów technologicznych. Z uwagi na brak zdefiniowana ww. rodzajów infrastruktury w przepisach prawa, rozważyć należy doprecyzowanie ich rozumienia (jeżeli zaś chodzi o kanały technologiczne – odnieść się trzeba do ich rozumienia na gruncie ustawy z dnia 21 marca 1985 r. o drogach publicznych; Dz. U. z 2022 r. poz. 1693, z późn. zm.),</w:t>
            </w:r>
          </w:p>
        </w:tc>
        <w:tc>
          <w:tcPr>
            <w:tcW w:w="3260" w:type="dxa"/>
            <w:shd w:val="clear" w:color="auto" w:fill="auto"/>
          </w:tcPr>
          <w:p w14:paraId="1439849A" w14:textId="77777777" w:rsidR="000864B9" w:rsidRPr="00A06425" w:rsidRDefault="000864B9" w:rsidP="000864B9">
            <w:pPr>
              <w:rPr>
                <w:rFonts w:asciiTheme="minorHAnsi" w:hAnsiTheme="minorHAnsi" w:cstheme="minorHAnsi"/>
                <w:sz w:val="22"/>
                <w:szCs w:val="22"/>
              </w:rPr>
            </w:pPr>
          </w:p>
        </w:tc>
        <w:tc>
          <w:tcPr>
            <w:tcW w:w="3260" w:type="dxa"/>
          </w:tcPr>
          <w:p w14:paraId="7744CDD6" w14:textId="77777777" w:rsidR="00065504" w:rsidRDefault="00065504" w:rsidP="00065504">
            <w:pPr>
              <w:rPr>
                <w:rFonts w:asciiTheme="minorHAnsi" w:hAnsiTheme="minorHAnsi" w:cstheme="minorHAnsi"/>
                <w:sz w:val="22"/>
                <w:szCs w:val="22"/>
              </w:rPr>
            </w:pPr>
            <w:r>
              <w:rPr>
                <w:rFonts w:asciiTheme="minorHAnsi" w:hAnsiTheme="minorHAnsi" w:cstheme="minorHAnsi"/>
                <w:sz w:val="22"/>
                <w:szCs w:val="22"/>
              </w:rPr>
              <w:t>Uwaga nieaktualna</w:t>
            </w:r>
          </w:p>
          <w:p w14:paraId="259977A7" w14:textId="77777777" w:rsidR="00065504" w:rsidRDefault="00065504" w:rsidP="00065504">
            <w:pPr>
              <w:rPr>
                <w:rFonts w:asciiTheme="minorHAnsi" w:hAnsiTheme="minorHAnsi" w:cstheme="minorHAnsi"/>
                <w:sz w:val="22"/>
                <w:szCs w:val="22"/>
              </w:rPr>
            </w:pPr>
          </w:p>
          <w:p w14:paraId="7DA0BC04" w14:textId="0B9008EE" w:rsidR="000864B9" w:rsidRPr="00A06425"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55E08012" w14:textId="77777777" w:rsidTr="00965831">
        <w:tc>
          <w:tcPr>
            <w:tcW w:w="562" w:type="dxa"/>
            <w:shd w:val="clear" w:color="auto" w:fill="auto"/>
          </w:tcPr>
          <w:p w14:paraId="231A6031"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45E90221" w14:textId="2C4A55B3"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17038D06" w14:textId="4A1E1A35" w:rsidR="000864B9" w:rsidRPr="00A06425" w:rsidRDefault="002C36A4" w:rsidP="000864B9">
            <w:pPr>
              <w:rPr>
                <w:rFonts w:asciiTheme="minorHAnsi" w:hAnsiTheme="minorHAnsi" w:cstheme="minorHAnsi"/>
                <w:sz w:val="22"/>
                <w:szCs w:val="22"/>
              </w:rPr>
            </w:pPr>
            <w:r w:rsidRPr="00A44916">
              <w:rPr>
                <w:rFonts w:asciiTheme="minorHAnsi" w:hAnsiTheme="minorHAnsi" w:cstheme="minorHAnsi"/>
                <w:sz w:val="22"/>
                <w:szCs w:val="22"/>
              </w:rPr>
              <w:t>§ 7 ust. 4</w:t>
            </w:r>
          </w:p>
        </w:tc>
        <w:tc>
          <w:tcPr>
            <w:tcW w:w="5103" w:type="dxa"/>
            <w:shd w:val="clear" w:color="auto" w:fill="auto"/>
          </w:tcPr>
          <w:p w14:paraId="7E45DB45" w14:textId="020D80EC"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wyjaśnienia wymaga relacja pkt 4 i 6 w § 7 ust. 4 projektu rozporządzenia, gdzie stanowi się z, jednej strony, o kosztach dostawy, instalacji i uruchomienia urządzeń telekomunikacyjnych stanowiących infrastrukturę aktywną sieci NGA, a z drugiej – o kosztach inwestycyjnych budowy sieci NGA. Wydaje się bowiem, że pierwsze z wymienionych kosztów mogą także wchodzić w zakres kosztów inwestycyjnych (wówczas ich różnicowanie nie byłoby celowe)</w:t>
            </w:r>
          </w:p>
        </w:tc>
        <w:tc>
          <w:tcPr>
            <w:tcW w:w="3260" w:type="dxa"/>
            <w:shd w:val="clear" w:color="auto" w:fill="auto"/>
          </w:tcPr>
          <w:p w14:paraId="58F9D9D4" w14:textId="77777777" w:rsidR="000864B9" w:rsidRPr="00A06425" w:rsidRDefault="000864B9" w:rsidP="000864B9">
            <w:pPr>
              <w:rPr>
                <w:rFonts w:asciiTheme="minorHAnsi" w:hAnsiTheme="minorHAnsi" w:cstheme="minorHAnsi"/>
                <w:sz w:val="22"/>
                <w:szCs w:val="22"/>
              </w:rPr>
            </w:pPr>
          </w:p>
        </w:tc>
        <w:tc>
          <w:tcPr>
            <w:tcW w:w="3260" w:type="dxa"/>
          </w:tcPr>
          <w:p w14:paraId="0A108B10" w14:textId="77777777" w:rsidR="00065504" w:rsidRDefault="00065504" w:rsidP="00065504">
            <w:pPr>
              <w:rPr>
                <w:rFonts w:asciiTheme="minorHAnsi" w:hAnsiTheme="minorHAnsi" w:cstheme="minorHAnsi"/>
                <w:sz w:val="22"/>
                <w:szCs w:val="22"/>
              </w:rPr>
            </w:pPr>
            <w:r>
              <w:rPr>
                <w:rFonts w:asciiTheme="minorHAnsi" w:hAnsiTheme="minorHAnsi" w:cstheme="minorHAnsi"/>
                <w:sz w:val="22"/>
                <w:szCs w:val="22"/>
              </w:rPr>
              <w:t>Uwaga nieaktualna</w:t>
            </w:r>
          </w:p>
          <w:p w14:paraId="37B3A2DB" w14:textId="77777777" w:rsidR="00065504" w:rsidRDefault="00065504" w:rsidP="00065504">
            <w:pPr>
              <w:rPr>
                <w:rFonts w:asciiTheme="minorHAnsi" w:hAnsiTheme="minorHAnsi" w:cstheme="minorHAnsi"/>
                <w:sz w:val="22"/>
                <w:szCs w:val="22"/>
              </w:rPr>
            </w:pPr>
          </w:p>
          <w:p w14:paraId="04268C49" w14:textId="017B6E53" w:rsidR="000864B9" w:rsidRPr="00647C82"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5997EC4C" w14:textId="77777777" w:rsidTr="00965831">
        <w:tc>
          <w:tcPr>
            <w:tcW w:w="562" w:type="dxa"/>
            <w:shd w:val="clear" w:color="auto" w:fill="auto"/>
          </w:tcPr>
          <w:p w14:paraId="4E6CEB1E"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4384BB7C" w14:textId="3AC684CD"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561958DD" w14:textId="7FE052F8" w:rsidR="000864B9" w:rsidRPr="00A06425" w:rsidRDefault="002C36A4" w:rsidP="000864B9">
            <w:pPr>
              <w:rPr>
                <w:rFonts w:asciiTheme="minorHAnsi" w:hAnsiTheme="minorHAnsi" w:cstheme="minorHAnsi"/>
                <w:sz w:val="22"/>
                <w:szCs w:val="22"/>
              </w:rPr>
            </w:pPr>
            <w:r w:rsidRPr="00A44916">
              <w:rPr>
                <w:rFonts w:asciiTheme="minorHAnsi" w:hAnsiTheme="minorHAnsi" w:cstheme="minorHAnsi"/>
                <w:sz w:val="22"/>
                <w:szCs w:val="22"/>
              </w:rPr>
              <w:t>§ 7 ust. 4</w:t>
            </w:r>
          </w:p>
        </w:tc>
        <w:tc>
          <w:tcPr>
            <w:tcW w:w="5103" w:type="dxa"/>
            <w:shd w:val="clear" w:color="auto" w:fill="auto"/>
          </w:tcPr>
          <w:p w14:paraId="257307CE" w14:textId="7924453A"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w pkt 10 § 7 ust. 4 projektu przesądzono o nieobjęciu wsparciem wydatków związanych z wypełnieniem formularza wniosku. W przepisach projektowanego aktu, oprócz określenia, że warunkiem udzielenia wsparcia jest złożenie wniosku, brak jest jakichkolwiek informacji związanych z „procedurą wnioskowania” – trudno w tej sytuacji ocenić, czy i jakie koszty miałoby generować wypełnienie jego formularza. Zasadnym jest więc uzupełnienie przepisów aktu wykonawczego w zakresie wniosku albo wyjaśnienie tej kwestii,</w:t>
            </w:r>
          </w:p>
        </w:tc>
        <w:tc>
          <w:tcPr>
            <w:tcW w:w="3260" w:type="dxa"/>
            <w:shd w:val="clear" w:color="auto" w:fill="auto"/>
          </w:tcPr>
          <w:p w14:paraId="48FF246E" w14:textId="77777777" w:rsidR="000864B9" w:rsidRPr="00A06425" w:rsidRDefault="000864B9" w:rsidP="000864B9">
            <w:pPr>
              <w:rPr>
                <w:rFonts w:asciiTheme="minorHAnsi" w:hAnsiTheme="minorHAnsi" w:cstheme="minorHAnsi"/>
                <w:sz w:val="22"/>
                <w:szCs w:val="22"/>
              </w:rPr>
            </w:pPr>
          </w:p>
        </w:tc>
        <w:tc>
          <w:tcPr>
            <w:tcW w:w="3260" w:type="dxa"/>
          </w:tcPr>
          <w:p w14:paraId="09AF31A4" w14:textId="77777777" w:rsidR="00065504" w:rsidRDefault="00065504" w:rsidP="00065504">
            <w:pPr>
              <w:rPr>
                <w:rFonts w:asciiTheme="minorHAnsi" w:hAnsiTheme="minorHAnsi" w:cstheme="minorHAnsi"/>
                <w:sz w:val="22"/>
                <w:szCs w:val="22"/>
              </w:rPr>
            </w:pPr>
            <w:r>
              <w:rPr>
                <w:rFonts w:asciiTheme="minorHAnsi" w:hAnsiTheme="minorHAnsi" w:cstheme="minorHAnsi"/>
                <w:sz w:val="22"/>
                <w:szCs w:val="22"/>
              </w:rPr>
              <w:t>Uwaga nieaktualna</w:t>
            </w:r>
          </w:p>
          <w:p w14:paraId="211013C2" w14:textId="77777777" w:rsidR="00065504" w:rsidRDefault="00065504" w:rsidP="00065504">
            <w:pPr>
              <w:rPr>
                <w:rFonts w:asciiTheme="minorHAnsi" w:hAnsiTheme="minorHAnsi" w:cstheme="minorHAnsi"/>
                <w:sz w:val="22"/>
                <w:szCs w:val="22"/>
              </w:rPr>
            </w:pPr>
          </w:p>
          <w:p w14:paraId="7F256B72" w14:textId="00D2AF47" w:rsidR="000864B9" w:rsidRPr="00A06425"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249B3A8B" w14:textId="77777777" w:rsidTr="00965831">
        <w:tc>
          <w:tcPr>
            <w:tcW w:w="562" w:type="dxa"/>
            <w:shd w:val="clear" w:color="auto" w:fill="auto"/>
          </w:tcPr>
          <w:p w14:paraId="291805E7"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9A7483D" w14:textId="6CE17EF7" w:rsidR="000864B9" w:rsidRPr="006B693E" w:rsidRDefault="000864B9" w:rsidP="000864B9">
            <w:pPr>
              <w:spacing w:before="60" w:after="60"/>
              <w:rPr>
                <w:rFonts w:asciiTheme="minorHAnsi" w:hAnsiTheme="minorHAnsi" w:cstheme="minorHAnsi"/>
                <w:b/>
                <w:sz w:val="22"/>
                <w:szCs w:val="22"/>
              </w:rPr>
            </w:pPr>
            <w:r w:rsidRPr="006B693E">
              <w:rPr>
                <w:rFonts w:asciiTheme="minorHAnsi" w:hAnsiTheme="minorHAnsi" w:cstheme="minorHAnsi"/>
                <w:b/>
                <w:sz w:val="22"/>
                <w:szCs w:val="22"/>
              </w:rPr>
              <w:t>RCL</w:t>
            </w:r>
          </w:p>
        </w:tc>
        <w:tc>
          <w:tcPr>
            <w:tcW w:w="1843" w:type="dxa"/>
            <w:shd w:val="clear" w:color="auto" w:fill="auto"/>
          </w:tcPr>
          <w:p w14:paraId="418B040F" w14:textId="43226805" w:rsidR="000864B9" w:rsidRPr="006B693E" w:rsidRDefault="002C36A4" w:rsidP="000864B9">
            <w:pPr>
              <w:rPr>
                <w:rFonts w:asciiTheme="minorHAnsi" w:hAnsiTheme="minorHAnsi" w:cstheme="minorHAnsi"/>
                <w:sz w:val="22"/>
                <w:szCs w:val="22"/>
              </w:rPr>
            </w:pPr>
            <w:r w:rsidRPr="006B693E">
              <w:rPr>
                <w:rFonts w:asciiTheme="minorHAnsi" w:hAnsiTheme="minorHAnsi" w:cstheme="minorHAnsi"/>
                <w:sz w:val="22"/>
                <w:szCs w:val="22"/>
              </w:rPr>
              <w:t>§ 7 ust. 5</w:t>
            </w:r>
          </w:p>
        </w:tc>
        <w:tc>
          <w:tcPr>
            <w:tcW w:w="5103" w:type="dxa"/>
            <w:shd w:val="clear" w:color="auto" w:fill="auto"/>
          </w:tcPr>
          <w:p w14:paraId="0D277A43" w14:textId="61EFFE4F" w:rsidR="000864B9" w:rsidRPr="006B693E" w:rsidRDefault="000864B9" w:rsidP="000864B9">
            <w:pPr>
              <w:rPr>
                <w:rFonts w:asciiTheme="minorHAnsi" w:hAnsiTheme="minorHAnsi" w:cstheme="minorHAnsi"/>
                <w:sz w:val="22"/>
                <w:szCs w:val="22"/>
              </w:rPr>
            </w:pPr>
            <w:r w:rsidRPr="006B693E">
              <w:rPr>
                <w:rFonts w:asciiTheme="minorHAnsi" w:hAnsiTheme="minorHAnsi" w:cstheme="minorHAnsi"/>
                <w:sz w:val="22"/>
                <w:szCs w:val="22"/>
              </w:rPr>
              <w:t>w § 7 ust. 5 projektu, w celu zapewnienia przepisowi należytej precyzji a procedurze udzielania wsparcia przejrzystości, dookreślić należy, czym ma być „zapewnienie zasobów” umożliwiających umieszczenie sieci telekomunikacyjnych przez innych operatorów telekomunikacyjnych w ramach budowy pasywnej infrastruktury szerokopasmowej i zakwalifikowania wydatków z tym związanych jako objętych wsparciem,</w:t>
            </w:r>
          </w:p>
        </w:tc>
        <w:tc>
          <w:tcPr>
            <w:tcW w:w="3260" w:type="dxa"/>
            <w:shd w:val="clear" w:color="auto" w:fill="auto"/>
          </w:tcPr>
          <w:p w14:paraId="3E8A0267" w14:textId="77777777" w:rsidR="000864B9" w:rsidRPr="006B693E" w:rsidRDefault="000864B9" w:rsidP="000864B9">
            <w:pPr>
              <w:rPr>
                <w:rFonts w:asciiTheme="minorHAnsi" w:hAnsiTheme="minorHAnsi" w:cstheme="minorHAnsi"/>
                <w:sz w:val="22"/>
                <w:szCs w:val="22"/>
              </w:rPr>
            </w:pPr>
          </w:p>
        </w:tc>
        <w:tc>
          <w:tcPr>
            <w:tcW w:w="3260" w:type="dxa"/>
          </w:tcPr>
          <w:p w14:paraId="55CB883B" w14:textId="77777777" w:rsidR="00065504" w:rsidRDefault="00065504" w:rsidP="00065504">
            <w:pPr>
              <w:rPr>
                <w:rFonts w:asciiTheme="minorHAnsi" w:hAnsiTheme="minorHAnsi" w:cstheme="minorHAnsi"/>
                <w:sz w:val="22"/>
                <w:szCs w:val="22"/>
              </w:rPr>
            </w:pPr>
            <w:r>
              <w:rPr>
                <w:rFonts w:asciiTheme="minorHAnsi" w:hAnsiTheme="minorHAnsi" w:cstheme="minorHAnsi"/>
                <w:sz w:val="22"/>
                <w:szCs w:val="22"/>
              </w:rPr>
              <w:t>Uwaga nieaktualna</w:t>
            </w:r>
          </w:p>
          <w:p w14:paraId="7C3633A5" w14:textId="77777777" w:rsidR="00065504" w:rsidRDefault="00065504" w:rsidP="00065504">
            <w:pPr>
              <w:rPr>
                <w:rFonts w:asciiTheme="minorHAnsi" w:hAnsiTheme="minorHAnsi" w:cstheme="minorHAnsi"/>
                <w:sz w:val="22"/>
                <w:szCs w:val="22"/>
              </w:rPr>
            </w:pPr>
          </w:p>
          <w:p w14:paraId="4F8B0DBF" w14:textId="46683694" w:rsidR="000864B9" w:rsidRPr="006B693E"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700CD98E" w14:textId="77777777" w:rsidTr="00965831">
        <w:tc>
          <w:tcPr>
            <w:tcW w:w="562" w:type="dxa"/>
            <w:shd w:val="clear" w:color="auto" w:fill="auto"/>
          </w:tcPr>
          <w:p w14:paraId="31F72CA1"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7277EE75" w14:textId="21D0C969"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7E03F3C3" w14:textId="650F73DA" w:rsidR="000864B9" w:rsidRPr="00A06425" w:rsidRDefault="00647C82" w:rsidP="000864B9">
            <w:pPr>
              <w:rPr>
                <w:rFonts w:asciiTheme="minorHAnsi" w:hAnsiTheme="minorHAnsi" w:cstheme="minorHAnsi"/>
                <w:sz w:val="22"/>
                <w:szCs w:val="22"/>
              </w:rPr>
            </w:pPr>
            <w:r w:rsidRPr="00647C82">
              <w:rPr>
                <w:rFonts w:asciiTheme="minorHAnsi" w:hAnsiTheme="minorHAnsi" w:cstheme="minorHAnsi"/>
                <w:sz w:val="22"/>
                <w:szCs w:val="22"/>
              </w:rPr>
              <w:t>§ 7</w:t>
            </w:r>
            <w:r w:rsidR="0028379D">
              <w:rPr>
                <w:rFonts w:asciiTheme="minorHAnsi" w:hAnsiTheme="minorHAnsi" w:cstheme="minorHAnsi"/>
                <w:sz w:val="22"/>
                <w:szCs w:val="22"/>
              </w:rPr>
              <w:t xml:space="preserve"> ust. 6</w:t>
            </w:r>
          </w:p>
        </w:tc>
        <w:tc>
          <w:tcPr>
            <w:tcW w:w="5103" w:type="dxa"/>
            <w:shd w:val="clear" w:color="auto" w:fill="auto"/>
          </w:tcPr>
          <w:p w14:paraId="78AB8A61" w14:textId="47A4EFC5"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w ust. 6 § 7 projektu przesądzono o ustalaniu ceny nabycia wartości niematerialnych i prawnych oraz środków trwałych, kwalifikujących się do objęcia wsparciem, zgodnie z przepisami ustawy z dnia 29 września 1994 r. o rachunkowości. W wyliczeniu zawartym w § 7 ust. 4 nie zawarto jednakże kosztów nabycia środków trwałych jako wydatków kwalifikujących się do objęcia wsparciem – słuszne wydaje się więc uzupełnienie przepisu w tym zakresie;</w:t>
            </w:r>
          </w:p>
        </w:tc>
        <w:tc>
          <w:tcPr>
            <w:tcW w:w="3260" w:type="dxa"/>
            <w:shd w:val="clear" w:color="auto" w:fill="auto"/>
          </w:tcPr>
          <w:p w14:paraId="67E8A5E5" w14:textId="77777777" w:rsidR="000864B9" w:rsidRPr="00A06425" w:rsidRDefault="000864B9" w:rsidP="000864B9">
            <w:pPr>
              <w:rPr>
                <w:rFonts w:asciiTheme="minorHAnsi" w:hAnsiTheme="minorHAnsi" w:cstheme="minorHAnsi"/>
                <w:sz w:val="22"/>
                <w:szCs w:val="22"/>
              </w:rPr>
            </w:pPr>
          </w:p>
        </w:tc>
        <w:tc>
          <w:tcPr>
            <w:tcW w:w="3260" w:type="dxa"/>
          </w:tcPr>
          <w:p w14:paraId="2D814F11" w14:textId="77777777" w:rsidR="00065504" w:rsidRDefault="00065504" w:rsidP="00065504">
            <w:pPr>
              <w:rPr>
                <w:rFonts w:asciiTheme="minorHAnsi" w:hAnsiTheme="minorHAnsi" w:cstheme="minorHAnsi"/>
                <w:sz w:val="22"/>
                <w:szCs w:val="22"/>
              </w:rPr>
            </w:pPr>
            <w:r>
              <w:rPr>
                <w:rFonts w:asciiTheme="minorHAnsi" w:hAnsiTheme="minorHAnsi" w:cstheme="minorHAnsi"/>
                <w:sz w:val="22"/>
                <w:szCs w:val="22"/>
              </w:rPr>
              <w:t>Uwaga nieaktualna</w:t>
            </w:r>
          </w:p>
          <w:p w14:paraId="54C2FE27" w14:textId="77777777" w:rsidR="00065504" w:rsidRDefault="00065504" w:rsidP="00065504">
            <w:pPr>
              <w:rPr>
                <w:rFonts w:asciiTheme="minorHAnsi" w:hAnsiTheme="minorHAnsi" w:cstheme="minorHAnsi"/>
                <w:sz w:val="22"/>
                <w:szCs w:val="22"/>
              </w:rPr>
            </w:pPr>
          </w:p>
          <w:p w14:paraId="6331295E" w14:textId="579CFE7D" w:rsidR="000864B9" w:rsidRPr="00A06425" w:rsidRDefault="00065504" w:rsidP="00065504">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111E72A1" w14:textId="77777777" w:rsidTr="00965831">
        <w:tc>
          <w:tcPr>
            <w:tcW w:w="562" w:type="dxa"/>
            <w:shd w:val="clear" w:color="auto" w:fill="auto"/>
          </w:tcPr>
          <w:p w14:paraId="2F5A3060"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31FEB15C" w14:textId="61CB8866"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12E6F223" w14:textId="479DD712" w:rsidR="000864B9" w:rsidRPr="00A06425" w:rsidRDefault="000658E0" w:rsidP="000864B9">
            <w:pPr>
              <w:rPr>
                <w:rFonts w:asciiTheme="minorHAnsi" w:hAnsiTheme="minorHAnsi" w:cstheme="minorHAnsi"/>
                <w:sz w:val="22"/>
                <w:szCs w:val="22"/>
              </w:rPr>
            </w:pPr>
            <w:r>
              <w:rPr>
                <w:rFonts w:asciiTheme="minorHAnsi" w:hAnsiTheme="minorHAnsi" w:cstheme="minorHAnsi"/>
                <w:sz w:val="22"/>
                <w:szCs w:val="22"/>
              </w:rPr>
              <w:t>uwaga o</w:t>
            </w:r>
            <w:r w:rsidR="0028379D">
              <w:rPr>
                <w:rFonts w:asciiTheme="minorHAnsi" w:hAnsiTheme="minorHAnsi" w:cstheme="minorHAnsi"/>
                <w:sz w:val="22"/>
                <w:szCs w:val="22"/>
              </w:rPr>
              <w:t>gólna § 8-10</w:t>
            </w:r>
          </w:p>
        </w:tc>
        <w:tc>
          <w:tcPr>
            <w:tcW w:w="5103" w:type="dxa"/>
            <w:shd w:val="clear" w:color="auto" w:fill="auto"/>
          </w:tcPr>
          <w:p w14:paraId="40E3E8C7" w14:textId="52E84C95" w:rsidR="000864B9" w:rsidRPr="00B72712" w:rsidRDefault="000864B9" w:rsidP="000864B9">
            <w:pPr>
              <w:rPr>
                <w:rFonts w:asciiTheme="minorHAnsi" w:hAnsiTheme="minorHAnsi" w:cstheme="minorHAnsi"/>
                <w:sz w:val="22"/>
                <w:szCs w:val="22"/>
              </w:rPr>
            </w:pPr>
            <w:r w:rsidRPr="00A44916">
              <w:rPr>
                <w:rFonts w:asciiTheme="minorHAnsi" w:hAnsiTheme="minorHAnsi" w:cstheme="minorHAnsi"/>
                <w:sz w:val="22"/>
                <w:szCs w:val="22"/>
              </w:rPr>
              <w:t>biorąc po uwagę brzmienie upoważnienia ustawowego i przekazany do uregulowania w akcie wykonawczym zakres spraw, wyjaśnienia wymaga, w które z regulacji ww. upoważnienia wpisują się kwestie określone w § 8–10 projektu rozporządzenia, gdyż wykraczają one poza materię rozporządzenia i powinny zostać z niego usunięte. Regulują one bowiem maksymalną intensywność wsparcia i sposób jej ustalani</w:t>
            </w:r>
            <w:r w:rsidR="00647C82">
              <w:rPr>
                <w:rFonts w:asciiTheme="minorHAnsi" w:hAnsiTheme="minorHAnsi" w:cstheme="minorHAnsi"/>
                <w:sz w:val="22"/>
                <w:szCs w:val="22"/>
              </w:rPr>
              <w:t xml:space="preserve">a (§ 8), wkraczają w materię </w:t>
            </w:r>
            <w:r w:rsidRPr="00A44916">
              <w:rPr>
                <w:rFonts w:asciiTheme="minorHAnsi" w:hAnsiTheme="minorHAnsi" w:cstheme="minorHAnsi"/>
                <w:sz w:val="22"/>
                <w:szCs w:val="22"/>
              </w:rPr>
              <w:t xml:space="preserve">ustawową, określając element umowy o objęcie przedsięwzięcia wsparciem w przypadku przekroczenia pewnej wysokości wsparcia czy wskazując na obowiązek indywidualnej notyfikacji w przypadku wsparcia przekraczającego określone progi (§ 9), a także określają okres, do którego wsparcie może być udzielane (w tej mierze ustawa o zasadach prowadzenia polityki rozwoju także przewiduje stosowną regulację – art. 14ll ust. 5 (§ 10). Dodatkowo, odnosząc się do zaproponowanego brzmienia § 8, należy zauważyć, iż – co do zasady – </w:t>
            </w:r>
            <w:r w:rsidRPr="00A44916">
              <w:rPr>
                <w:rFonts w:asciiTheme="minorHAnsi" w:hAnsiTheme="minorHAnsi" w:cstheme="minorHAnsi"/>
                <w:sz w:val="22"/>
                <w:szCs w:val="22"/>
              </w:rPr>
              <w:lastRenderedPageBreak/>
              <w:t>jest to jedyna regulacja projektowanego aktu, która szczątkowo odnosi się do „procedury” udzielania wsparcia – stanowi o „ogłoszeniu” inicjującym procedurę wyboru i jednym z jego elementów w postaci określenia maksymalnej kwoty wsparcia czy intensywności wsparcia – w akcie wykonawczym Wnioskodawca miał natomiast określić tę procedurę w sposób szczegółowy, co nie zostało należycie wykonane (jedynie z uzasadnienia bowiem wynika, że to konkurs ma stanowić procedurę wyboru)</w:t>
            </w:r>
          </w:p>
        </w:tc>
        <w:tc>
          <w:tcPr>
            <w:tcW w:w="3260" w:type="dxa"/>
            <w:shd w:val="clear" w:color="auto" w:fill="auto"/>
          </w:tcPr>
          <w:p w14:paraId="0265FFC0" w14:textId="77777777" w:rsidR="000864B9" w:rsidRPr="00A06425" w:rsidRDefault="000864B9" w:rsidP="000864B9">
            <w:pPr>
              <w:rPr>
                <w:rFonts w:asciiTheme="minorHAnsi" w:hAnsiTheme="minorHAnsi" w:cstheme="minorHAnsi"/>
                <w:sz w:val="22"/>
                <w:szCs w:val="22"/>
              </w:rPr>
            </w:pPr>
          </w:p>
        </w:tc>
        <w:tc>
          <w:tcPr>
            <w:tcW w:w="3260" w:type="dxa"/>
          </w:tcPr>
          <w:p w14:paraId="5B8724E4" w14:textId="77777777" w:rsidR="00065504" w:rsidRDefault="00065504" w:rsidP="003C453A">
            <w:pPr>
              <w:rPr>
                <w:rFonts w:asciiTheme="minorHAnsi" w:hAnsiTheme="minorHAnsi" w:cstheme="minorHAnsi"/>
                <w:sz w:val="22"/>
                <w:szCs w:val="22"/>
              </w:rPr>
            </w:pPr>
            <w:r>
              <w:rPr>
                <w:rFonts w:asciiTheme="minorHAnsi" w:hAnsiTheme="minorHAnsi" w:cstheme="minorHAnsi"/>
                <w:sz w:val="22"/>
                <w:szCs w:val="22"/>
              </w:rPr>
              <w:t>Uwaga częściowo uwzględniona</w:t>
            </w:r>
          </w:p>
          <w:p w14:paraId="786A7CC9" w14:textId="77777777" w:rsidR="00065504" w:rsidRDefault="00065504" w:rsidP="003C453A">
            <w:pPr>
              <w:rPr>
                <w:rFonts w:asciiTheme="minorHAnsi" w:hAnsiTheme="minorHAnsi" w:cstheme="minorHAnsi"/>
                <w:sz w:val="22"/>
                <w:szCs w:val="22"/>
              </w:rPr>
            </w:pPr>
          </w:p>
          <w:p w14:paraId="0EA51B0D" w14:textId="77777777" w:rsidR="00AB7145" w:rsidRDefault="003C453A" w:rsidP="00AB7145">
            <w:pPr>
              <w:rPr>
                <w:rFonts w:asciiTheme="minorHAnsi" w:hAnsiTheme="minorHAnsi" w:cstheme="minorHAnsi"/>
                <w:sz w:val="22"/>
                <w:szCs w:val="22"/>
              </w:rPr>
            </w:pPr>
            <w:r>
              <w:rPr>
                <w:rFonts w:asciiTheme="minorHAnsi" w:hAnsiTheme="minorHAnsi" w:cstheme="minorHAnsi"/>
                <w:sz w:val="22"/>
                <w:szCs w:val="22"/>
              </w:rPr>
              <w:t>Pozostawiono</w:t>
            </w:r>
            <w:r w:rsidR="00AB7145">
              <w:rPr>
                <w:rFonts w:asciiTheme="minorHAnsi" w:hAnsiTheme="minorHAnsi" w:cstheme="minorHAnsi"/>
                <w:sz w:val="22"/>
                <w:szCs w:val="22"/>
              </w:rPr>
              <w:t xml:space="preserve"> projektowane przepisy dotyczące</w:t>
            </w:r>
            <w:r w:rsidR="002C36A4">
              <w:rPr>
                <w:rFonts w:asciiTheme="minorHAnsi" w:hAnsiTheme="minorHAnsi" w:cstheme="minorHAnsi"/>
                <w:sz w:val="22"/>
                <w:szCs w:val="22"/>
              </w:rPr>
              <w:t xml:space="preserve"> maksymalnej intensywności</w:t>
            </w:r>
            <w:r w:rsidR="00AB7145">
              <w:rPr>
                <w:rFonts w:asciiTheme="minorHAnsi" w:hAnsiTheme="minorHAnsi" w:cstheme="minorHAnsi"/>
                <w:sz w:val="22"/>
                <w:szCs w:val="22"/>
              </w:rPr>
              <w:t xml:space="preserve"> pomocy oraz sposobów ograniczania jej do niezbędnego minimum, ponieważ jest</w:t>
            </w:r>
            <w:r>
              <w:rPr>
                <w:rFonts w:asciiTheme="minorHAnsi" w:hAnsiTheme="minorHAnsi" w:cstheme="minorHAnsi"/>
                <w:sz w:val="22"/>
                <w:szCs w:val="22"/>
              </w:rPr>
              <w:t xml:space="preserve"> to warunek udzielania </w:t>
            </w:r>
            <w:r w:rsidR="00AB7145">
              <w:rPr>
                <w:rFonts w:asciiTheme="minorHAnsi" w:hAnsiTheme="minorHAnsi" w:cstheme="minorHAnsi"/>
                <w:sz w:val="22"/>
                <w:szCs w:val="22"/>
              </w:rPr>
              <w:t>pomocy</w:t>
            </w:r>
            <w:r>
              <w:rPr>
                <w:rFonts w:asciiTheme="minorHAnsi" w:hAnsiTheme="minorHAnsi" w:cstheme="minorHAnsi"/>
                <w:sz w:val="22"/>
                <w:szCs w:val="22"/>
              </w:rPr>
              <w:t xml:space="preserve"> – </w:t>
            </w:r>
            <w:r w:rsidR="00AB7145">
              <w:rPr>
                <w:rFonts w:asciiTheme="minorHAnsi" w:hAnsiTheme="minorHAnsi" w:cstheme="minorHAnsi"/>
                <w:sz w:val="22"/>
                <w:szCs w:val="22"/>
              </w:rPr>
              <w:t>wnioskodawcy muszą wiedzieć, na jakich zasadach ustala się intensywność (lub wartość) dopuszczalnej pomocy, o którą mogą zawnioskować.</w:t>
            </w:r>
          </w:p>
          <w:p w14:paraId="3A083ECB" w14:textId="77777777" w:rsidR="00AB7145" w:rsidRDefault="00AB7145" w:rsidP="00AB7145">
            <w:pPr>
              <w:rPr>
                <w:rFonts w:asciiTheme="minorHAnsi" w:hAnsiTheme="minorHAnsi" w:cstheme="minorHAnsi"/>
                <w:sz w:val="22"/>
                <w:szCs w:val="22"/>
              </w:rPr>
            </w:pPr>
          </w:p>
          <w:p w14:paraId="1E1119FB" w14:textId="705F0D2D" w:rsidR="000864B9" w:rsidRPr="00A06425" w:rsidRDefault="00AB7145" w:rsidP="00AB7145">
            <w:pPr>
              <w:rPr>
                <w:rFonts w:asciiTheme="minorHAnsi" w:hAnsiTheme="minorHAnsi" w:cstheme="minorHAnsi"/>
                <w:sz w:val="22"/>
                <w:szCs w:val="22"/>
              </w:rPr>
            </w:pPr>
            <w:r>
              <w:rPr>
                <w:rFonts w:asciiTheme="minorHAnsi" w:hAnsiTheme="minorHAnsi" w:cstheme="minorHAnsi"/>
                <w:sz w:val="22"/>
                <w:szCs w:val="22"/>
              </w:rPr>
              <w:t>P</w:t>
            </w:r>
            <w:r w:rsidR="003C453A">
              <w:rPr>
                <w:rFonts w:asciiTheme="minorHAnsi" w:hAnsiTheme="minorHAnsi" w:cstheme="minorHAnsi"/>
                <w:sz w:val="22"/>
                <w:szCs w:val="22"/>
              </w:rPr>
              <w:t>ozostałe za</w:t>
            </w:r>
            <w:r>
              <w:rPr>
                <w:rFonts w:asciiTheme="minorHAnsi" w:hAnsiTheme="minorHAnsi" w:cstheme="minorHAnsi"/>
                <w:sz w:val="22"/>
                <w:szCs w:val="22"/>
              </w:rPr>
              <w:t>pisy – zgodnie z uwagą – skreślono z projektu.</w:t>
            </w:r>
            <w:r w:rsidR="003C453A">
              <w:rPr>
                <w:rFonts w:asciiTheme="minorHAnsi" w:hAnsiTheme="minorHAnsi" w:cstheme="minorHAnsi"/>
                <w:sz w:val="22"/>
                <w:szCs w:val="22"/>
              </w:rPr>
              <w:t xml:space="preserve"> </w:t>
            </w:r>
            <w:r w:rsidR="002C36A4">
              <w:rPr>
                <w:rFonts w:asciiTheme="minorHAnsi" w:hAnsiTheme="minorHAnsi" w:cstheme="minorHAnsi"/>
                <w:sz w:val="22"/>
                <w:szCs w:val="22"/>
              </w:rPr>
              <w:t xml:space="preserve"> </w:t>
            </w:r>
          </w:p>
        </w:tc>
      </w:tr>
      <w:tr w:rsidR="000864B9" w:rsidRPr="00A06425" w14:paraId="705E2E6F" w14:textId="77777777" w:rsidTr="00965831">
        <w:tc>
          <w:tcPr>
            <w:tcW w:w="562" w:type="dxa"/>
            <w:shd w:val="clear" w:color="auto" w:fill="auto"/>
          </w:tcPr>
          <w:p w14:paraId="5BC7F675" w14:textId="12A6FEE2"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2146D600" w14:textId="583CA74A"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358C7C44" w14:textId="1CDC5361" w:rsidR="000864B9" w:rsidRPr="00A06425" w:rsidRDefault="002C36A4" w:rsidP="000864B9">
            <w:pPr>
              <w:rPr>
                <w:rFonts w:asciiTheme="minorHAnsi" w:hAnsiTheme="minorHAnsi" w:cstheme="minorHAnsi"/>
                <w:sz w:val="22"/>
                <w:szCs w:val="22"/>
              </w:rPr>
            </w:pPr>
            <w:r w:rsidRPr="00AB4D0F">
              <w:rPr>
                <w:rFonts w:asciiTheme="minorHAnsi" w:hAnsiTheme="minorHAnsi" w:cstheme="minorHAnsi"/>
                <w:sz w:val="22"/>
                <w:szCs w:val="22"/>
              </w:rPr>
              <w:t xml:space="preserve">§ </w:t>
            </w:r>
            <w:r w:rsidRPr="009E7EEA">
              <w:rPr>
                <w:rFonts w:asciiTheme="minorHAnsi" w:hAnsiTheme="minorHAnsi" w:cstheme="minorHAnsi"/>
                <w:sz w:val="22"/>
                <w:szCs w:val="22"/>
              </w:rPr>
              <w:t>1</w:t>
            </w:r>
            <w:r w:rsidR="00506CA0">
              <w:rPr>
                <w:rFonts w:asciiTheme="minorHAnsi" w:hAnsiTheme="minorHAnsi" w:cstheme="minorHAnsi"/>
                <w:sz w:val="22"/>
                <w:szCs w:val="22"/>
              </w:rPr>
              <w:t xml:space="preserve"> ust</w:t>
            </w:r>
            <w:r w:rsidRPr="009E7EEA">
              <w:rPr>
                <w:rFonts w:asciiTheme="minorHAnsi" w:hAnsiTheme="minorHAnsi" w:cstheme="minorHAnsi"/>
                <w:sz w:val="22"/>
                <w:szCs w:val="22"/>
              </w:rPr>
              <w:t xml:space="preserve"> 1</w:t>
            </w:r>
          </w:p>
        </w:tc>
        <w:tc>
          <w:tcPr>
            <w:tcW w:w="5103" w:type="dxa"/>
            <w:shd w:val="clear" w:color="auto" w:fill="auto"/>
          </w:tcPr>
          <w:p w14:paraId="6988145E" w14:textId="017B6D70" w:rsidR="000864B9" w:rsidRPr="00B72712" w:rsidRDefault="000864B9" w:rsidP="000864B9">
            <w:pPr>
              <w:rPr>
                <w:rFonts w:asciiTheme="minorHAnsi" w:hAnsiTheme="minorHAnsi" w:cstheme="minorHAnsi"/>
                <w:sz w:val="22"/>
                <w:szCs w:val="22"/>
              </w:rPr>
            </w:pPr>
            <w:r w:rsidRPr="00AB4D0F">
              <w:rPr>
                <w:rFonts w:asciiTheme="minorHAnsi" w:hAnsiTheme="minorHAnsi" w:cstheme="minorHAnsi"/>
                <w:sz w:val="22"/>
                <w:szCs w:val="22"/>
              </w:rPr>
              <w:t xml:space="preserve">§ </w:t>
            </w:r>
            <w:r w:rsidRPr="009E7EEA">
              <w:rPr>
                <w:rFonts w:asciiTheme="minorHAnsi" w:hAnsiTheme="minorHAnsi" w:cstheme="minorHAnsi"/>
                <w:sz w:val="22"/>
                <w:szCs w:val="22"/>
              </w:rPr>
              <w:t>1. 1. Rozporządzenie określa szczegółowe przeznaczenie, warunki i tryb udzielania przez Centrum Projektów Polska Cyfrowa bezzwrotnego wsparcia finansowego w ramach inwestycji C1.1.1 Krajowego Planu Odbudowy i Zwiększenia Odporności</w:t>
            </w:r>
          </w:p>
        </w:tc>
        <w:tc>
          <w:tcPr>
            <w:tcW w:w="3260" w:type="dxa"/>
            <w:shd w:val="clear" w:color="auto" w:fill="auto"/>
          </w:tcPr>
          <w:p w14:paraId="248247EC" w14:textId="2AC8EC67" w:rsidR="000864B9" w:rsidRPr="00A06425" w:rsidRDefault="000864B9" w:rsidP="000864B9">
            <w:pPr>
              <w:rPr>
                <w:rFonts w:asciiTheme="minorHAnsi" w:hAnsiTheme="minorHAnsi" w:cstheme="minorHAnsi"/>
                <w:sz w:val="22"/>
                <w:szCs w:val="22"/>
              </w:rPr>
            </w:pPr>
            <w:r w:rsidRPr="009E7EEA">
              <w:rPr>
                <w:rFonts w:asciiTheme="minorHAnsi" w:hAnsiTheme="minorHAnsi" w:cstheme="minorHAnsi"/>
                <w:sz w:val="22"/>
                <w:szCs w:val="22"/>
              </w:rPr>
              <w:t>Jako że KPOiZO jest załącznikiem do uchwały nr 55/2021 Rady Ministrów z dnia 30 kwietnia 2021 r., rozważyć należy uzupełnienie przepisu o takie wskazanie.</w:t>
            </w:r>
          </w:p>
        </w:tc>
        <w:tc>
          <w:tcPr>
            <w:tcW w:w="3260" w:type="dxa"/>
          </w:tcPr>
          <w:p w14:paraId="098973BB" w14:textId="77777777" w:rsidR="000864B9" w:rsidRDefault="002C36A4"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7929947D" w14:textId="77777777" w:rsidR="00AB7145" w:rsidRDefault="00AB7145" w:rsidP="000864B9">
            <w:pPr>
              <w:rPr>
                <w:rFonts w:asciiTheme="minorHAnsi" w:hAnsiTheme="minorHAnsi" w:cstheme="minorHAnsi"/>
                <w:sz w:val="22"/>
                <w:szCs w:val="22"/>
              </w:rPr>
            </w:pPr>
          </w:p>
          <w:p w14:paraId="350DE02F" w14:textId="4B326B28" w:rsidR="00AB7145" w:rsidRPr="00A06425" w:rsidRDefault="00AB7145" w:rsidP="000864B9">
            <w:pPr>
              <w:rPr>
                <w:rFonts w:asciiTheme="minorHAnsi" w:hAnsiTheme="minorHAnsi" w:cstheme="minorHAnsi"/>
                <w:sz w:val="22"/>
                <w:szCs w:val="22"/>
              </w:rPr>
            </w:pPr>
            <w:r>
              <w:rPr>
                <w:rFonts w:asciiTheme="minorHAnsi" w:hAnsiTheme="minorHAnsi" w:cstheme="minorHAnsi"/>
                <w:sz w:val="22"/>
                <w:szCs w:val="22"/>
              </w:rPr>
              <w:t>Projektowany przepis przeformułowano.</w:t>
            </w:r>
          </w:p>
        </w:tc>
      </w:tr>
      <w:tr w:rsidR="000864B9" w:rsidRPr="00A06425" w14:paraId="51E757C3" w14:textId="77777777" w:rsidTr="00965831">
        <w:tc>
          <w:tcPr>
            <w:tcW w:w="562" w:type="dxa"/>
            <w:shd w:val="clear" w:color="auto" w:fill="auto"/>
          </w:tcPr>
          <w:p w14:paraId="38F68BE4"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65616F49" w14:textId="29EAB3DA"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65F72BF8" w14:textId="419A6E3A" w:rsidR="000864B9" w:rsidRPr="00A06425" w:rsidRDefault="000864B9" w:rsidP="000864B9">
            <w:pPr>
              <w:rPr>
                <w:rFonts w:asciiTheme="minorHAnsi" w:hAnsiTheme="minorHAnsi" w:cstheme="minorHAnsi"/>
                <w:sz w:val="22"/>
                <w:szCs w:val="22"/>
              </w:rPr>
            </w:pPr>
            <w:r w:rsidRPr="00AB4D0F">
              <w:rPr>
                <w:rFonts w:asciiTheme="minorHAnsi" w:hAnsiTheme="minorHAnsi" w:cstheme="minorHAnsi"/>
                <w:sz w:val="22"/>
                <w:szCs w:val="22"/>
              </w:rPr>
              <w:t>§ 5</w:t>
            </w:r>
            <w:r w:rsidR="00506CA0">
              <w:rPr>
                <w:rFonts w:asciiTheme="minorHAnsi" w:hAnsiTheme="minorHAnsi" w:cstheme="minorHAnsi"/>
                <w:sz w:val="22"/>
                <w:szCs w:val="22"/>
              </w:rPr>
              <w:t xml:space="preserve"> ust.</w:t>
            </w:r>
            <w:r w:rsidRPr="00AB4D0F">
              <w:rPr>
                <w:rFonts w:asciiTheme="minorHAnsi" w:hAnsiTheme="minorHAnsi" w:cstheme="minorHAnsi"/>
                <w:sz w:val="22"/>
                <w:szCs w:val="22"/>
              </w:rPr>
              <w:t>1</w:t>
            </w:r>
          </w:p>
        </w:tc>
        <w:tc>
          <w:tcPr>
            <w:tcW w:w="5103" w:type="dxa"/>
            <w:shd w:val="clear" w:color="auto" w:fill="auto"/>
          </w:tcPr>
          <w:p w14:paraId="5CED14AB" w14:textId="07EB7903" w:rsidR="000864B9" w:rsidRPr="00AB4D0F" w:rsidRDefault="000864B9" w:rsidP="000864B9">
            <w:pPr>
              <w:rPr>
                <w:rFonts w:asciiTheme="minorHAnsi" w:hAnsiTheme="minorHAnsi" w:cstheme="minorHAnsi"/>
                <w:bCs/>
                <w:sz w:val="22"/>
                <w:szCs w:val="22"/>
              </w:rPr>
            </w:pPr>
            <w:r w:rsidRPr="00AB4D0F">
              <w:rPr>
                <w:rFonts w:asciiTheme="minorHAnsi" w:hAnsiTheme="minorHAnsi" w:cstheme="minorHAnsi"/>
                <w:bCs/>
                <w:sz w:val="22"/>
                <w:szCs w:val="22"/>
              </w:rPr>
              <w:t>1)</w:t>
            </w:r>
            <w:r>
              <w:rPr>
                <w:rFonts w:asciiTheme="minorHAnsi" w:hAnsiTheme="minorHAnsi" w:cstheme="minorHAnsi"/>
                <w:bCs/>
                <w:sz w:val="22"/>
                <w:szCs w:val="22"/>
              </w:rPr>
              <w:t xml:space="preserve"> </w:t>
            </w:r>
            <w:r w:rsidRPr="00AB4D0F">
              <w:rPr>
                <w:rFonts w:asciiTheme="minorHAnsi" w:hAnsiTheme="minorHAnsi" w:cstheme="minorHAnsi"/>
                <w:bCs/>
                <w:sz w:val="22"/>
                <w:szCs w:val="22"/>
              </w:rPr>
              <w:t>jest wpisany do rejestru przedsiębiorców telekomunikacyjnych prowadzonego przez Prezesa Urzędu Komunikacji Elektronicznej;</w:t>
            </w:r>
          </w:p>
          <w:p w14:paraId="565EAAE0" w14:textId="77777777" w:rsidR="000864B9" w:rsidRPr="00B72712" w:rsidRDefault="000864B9" w:rsidP="000864B9">
            <w:pPr>
              <w:rPr>
                <w:rFonts w:asciiTheme="minorHAnsi" w:hAnsiTheme="minorHAnsi" w:cstheme="minorHAnsi"/>
                <w:sz w:val="22"/>
                <w:szCs w:val="22"/>
              </w:rPr>
            </w:pPr>
          </w:p>
        </w:tc>
        <w:tc>
          <w:tcPr>
            <w:tcW w:w="3260" w:type="dxa"/>
            <w:shd w:val="clear" w:color="auto" w:fill="auto"/>
          </w:tcPr>
          <w:p w14:paraId="08CE2ECB" w14:textId="45434A8A" w:rsidR="000864B9" w:rsidRPr="00A06425" w:rsidRDefault="000864B9" w:rsidP="000864B9">
            <w:pPr>
              <w:rPr>
                <w:rFonts w:asciiTheme="minorHAnsi" w:hAnsiTheme="minorHAnsi" w:cstheme="minorHAnsi"/>
                <w:sz w:val="22"/>
                <w:szCs w:val="22"/>
              </w:rPr>
            </w:pPr>
            <w:r w:rsidRPr="00AB4D0F">
              <w:rPr>
                <w:rFonts w:asciiTheme="minorHAnsi" w:hAnsiTheme="minorHAnsi" w:cstheme="minorHAnsi"/>
                <w:sz w:val="22"/>
                <w:szCs w:val="22"/>
              </w:rPr>
              <w:t>Zamiast tego – ewentualnie – „o którym mowa w…” .</w:t>
            </w:r>
          </w:p>
        </w:tc>
        <w:tc>
          <w:tcPr>
            <w:tcW w:w="3260" w:type="dxa"/>
          </w:tcPr>
          <w:p w14:paraId="78683096" w14:textId="5C8373A5" w:rsidR="000864B9" w:rsidRDefault="002C36A4" w:rsidP="00AB7145">
            <w:pPr>
              <w:rPr>
                <w:rFonts w:asciiTheme="minorHAnsi" w:hAnsiTheme="minorHAnsi" w:cstheme="minorHAnsi"/>
                <w:sz w:val="22"/>
                <w:szCs w:val="22"/>
              </w:rPr>
            </w:pPr>
            <w:r>
              <w:rPr>
                <w:rFonts w:asciiTheme="minorHAnsi" w:hAnsiTheme="minorHAnsi" w:cstheme="minorHAnsi"/>
                <w:sz w:val="22"/>
                <w:szCs w:val="22"/>
              </w:rPr>
              <w:t xml:space="preserve">Uwaga </w:t>
            </w:r>
            <w:r w:rsidR="00C938E0">
              <w:rPr>
                <w:rFonts w:asciiTheme="minorHAnsi" w:hAnsiTheme="minorHAnsi" w:cstheme="minorHAnsi"/>
                <w:sz w:val="22"/>
                <w:szCs w:val="22"/>
              </w:rPr>
              <w:t>bezprzedmiotowa</w:t>
            </w:r>
          </w:p>
          <w:p w14:paraId="7ED21283" w14:textId="77777777" w:rsidR="00AB7145" w:rsidRDefault="00AB7145" w:rsidP="00AB7145">
            <w:pPr>
              <w:rPr>
                <w:rFonts w:asciiTheme="minorHAnsi" w:hAnsiTheme="minorHAnsi" w:cstheme="minorHAnsi"/>
                <w:sz w:val="22"/>
                <w:szCs w:val="22"/>
              </w:rPr>
            </w:pPr>
          </w:p>
          <w:p w14:paraId="68E5C5EF" w14:textId="67596EBA" w:rsidR="00AB7145" w:rsidRPr="00A06425" w:rsidRDefault="00AB7145" w:rsidP="00AB7145">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5D7E3282" w14:textId="77777777" w:rsidTr="00965831">
        <w:tc>
          <w:tcPr>
            <w:tcW w:w="562" w:type="dxa"/>
            <w:shd w:val="clear" w:color="auto" w:fill="auto"/>
          </w:tcPr>
          <w:p w14:paraId="704AB662" w14:textId="501CE034"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7D43C269" w14:textId="2C02703D"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2B863D3E" w14:textId="0B68922C" w:rsidR="000864B9" w:rsidRPr="002C36A4" w:rsidRDefault="000864B9" w:rsidP="000864B9">
            <w:pPr>
              <w:rPr>
                <w:rFonts w:asciiTheme="minorHAnsi" w:hAnsiTheme="minorHAnsi" w:cstheme="minorHAnsi"/>
                <w:sz w:val="22"/>
                <w:szCs w:val="22"/>
              </w:rPr>
            </w:pPr>
            <w:r w:rsidRPr="002C36A4">
              <w:rPr>
                <w:rFonts w:asciiTheme="minorHAnsi" w:hAnsiTheme="minorHAnsi" w:cstheme="minorHAnsi"/>
                <w:sz w:val="22"/>
                <w:szCs w:val="22"/>
              </w:rPr>
              <w:t>§ 7</w:t>
            </w:r>
            <w:r w:rsidR="00506CA0">
              <w:rPr>
                <w:rFonts w:asciiTheme="minorHAnsi" w:hAnsiTheme="minorHAnsi" w:cstheme="minorHAnsi"/>
                <w:sz w:val="22"/>
                <w:szCs w:val="22"/>
              </w:rPr>
              <w:t xml:space="preserve"> ust. </w:t>
            </w:r>
            <w:r w:rsidRPr="002C36A4">
              <w:rPr>
                <w:rFonts w:asciiTheme="minorHAnsi" w:hAnsiTheme="minorHAnsi" w:cstheme="minorHAnsi"/>
                <w:sz w:val="22"/>
                <w:szCs w:val="22"/>
              </w:rPr>
              <w:t>4</w:t>
            </w:r>
          </w:p>
        </w:tc>
        <w:tc>
          <w:tcPr>
            <w:tcW w:w="5103" w:type="dxa"/>
            <w:shd w:val="clear" w:color="auto" w:fill="auto"/>
          </w:tcPr>
          <w:p w14:paraId="2E974512" w14:textId="0A169208" w:rsidR="000864B9" w:rsidRPr="00AB4D0F" w:rsidRDefault="000864B9" w:rsidP="000864B9">
            <w:pPr>
              <w:rPr>
                <w:rFonts w:asciiTheme="minorHAnsi" w:hAnsiTheme="minorHAnsi" w:cstheme="minorHAnsi"/>
                <w:bCs/>
                <w:sz w:val="22"/>
                <w:szCs w:val="22"/>
              </w:rPr>
            </w:pPr>
            <w:r>
              <w:rPr>
                <w:rFonts w:asciiTheme="minorHAnsi" w:hAnsiTheme="minorHAnsi" w:cstheme="minorHAnsi"/>
                <w:bCs/>
                <w:sz w:val="22"/>
                <w:szCs w:val="22"/>
              </w:rPr>
              <w:t xml:space="preserve">3) </w:t>
            </w:r>
            <w:r w:rsidRPr="00AB4D0F">
              <w:rPr>
                <w:rFonts w:asciiTheme="minorHAnsi" w:hAnsiTheme="minorHAnsi" w:cstheme="minorHAnsi"/>
                <w:bCs/>
                <w:sz w:val="22"/>
                <w:szCs w:val="22"/>
              </w:rPr>
              <w:t>kosztów nabycia prawa do dysponowania nieruchomością związaną z realizacją przedsięwzięcia;</w:t>
            </w:r>
          </w:p>
          <w:p w14:paraId="57E83A2E" w14:textId="77777777" w:rsidR="000864B9" w:rsidRPr="00B72712" w:rsidRDefault="000864B9" w:rsidP="000864B9">
            <w:pPr>
              <w:rPr>
                <w:rFonts w:asciiTheme="minorHAnsi" w:hAnsiTheme="minorHAnsi" w:cstheme="minorHAnsi"/>
                <w:sz w:val="22"/>
                <w:szCs w:val="22"/>
              </w:rPr>
            </w:pPr>
          </w:p>
        </w:tc>
        <w:tc>
          <w:tcPr>
            <w:tcW w:w="3260" w:type="dxa"/>
            <w:shd w:val="clear" w:color="auto" w:fill="auto"/>
          </w:tcPr>
          <w:p w14:paraId="030CDB92" w14:textId="044D0014" w:rsidR="000864B9" w:rsidRPr="00A06425" w:rsidRDefault="000864B9" w:rsidP="000864B9">
            <w:pPr>
              <w:rPr>
                <w:rFonts w:asciiTheme="minorHAnsi" w:hAnsiTheme="minorHAnsi" w:cstheme="minorHAnsi"/>
                <w:sz w:val="22"/>
                <w:szCs w:val="22"/>
              </w:rPr>
            </w:pPr>
            <w:r w:rsidRPr="00AB4D0F">
              <w:rPr>
                <w:rFonts w:asciiTheme="minorHAnsi" w:hAnsiTheme="minorHAnsi" w:cstheme="minorHAnsi"/>
                <w:sz w:val="22"/>
                <w:szCs w:val="22"/>
              </w:rPr>
              <w:t>na cele budowlane?</w:t>
            </w:r>
          </w:p>
        </w:tc>
        <w:tc>
          <w:tcPr>
            <w:tcW w:w="3260" w:type="dxa"/>
          </w:tcPr>
          <w:p w14:paraId="6CF9D04D" w14:textId="45BC5443" w:rsidR="000864B9" w:rsidRDefault="002C36A4" w:rsidP="000864B9">
            <w:pPr>
              <w:rPr>
                <w:rFonts w:asciiTheme="minorHAnsi" w:hAnsiTheme="minorHAnsi" w:cstheme="minorHAnsi"/>
                <w:sz w:val="22"/>
                <w:szCs w:val="22"/>
              </w:rPr>
            </w:pPr>
            <w:r>
              <w:rPr>
                <w:rFonts w:asciiTheme="minorHAnsi" w:hAnsiTheme="minorHAnsi" w:cstheme="minorHAnsi"/>
                <w:sz w:val="22"/>
                <w:szCs w:val="22"/>
              </w:rPr>
              <w:t xml:space="preserve">Uwaga </w:t>
            </w:r>
            <w:r w:rsidR="00C938E0">
              <w:rPr>
                <w:rFonts w:asciiTheme="minorHAnsi" w:hAnsiTheme="minorHAnsi" w:cstheme="minorHAnsi"/>
                <w:sz w:val="22"/>
                <w:szCs w:val="22"/>
              </w:rPr>
              <w:t>bezprzedmiotowa</w:t>
            </w:r>
          </w:p>
          <w:p w14:paraId="46B9080B" w14:textId="77777777" w:rsidR="00AB7145" w:rsidRDefault="00AB7145" w:rsidP="000864B9">
            <w:pPr>
              <w:rPr>
                <w:rFonts w:asciiTheme="minorHAnsi" w:hAnsiTheme="minorHAnsi" w:cstheme="minorHAnsi"/>
                <w:sz w:val="22"/>
                <w:szCs w:val="22"/>
              </w:rPr>
            </w:pPr>
          </w:p>
          <w:p w14:paraId="1F500FE3" w14:textId="43766164" w:rsidR="00AB7145" w:rsidRPr="00A06425" w:rsidRDefault="00AB7145" w:rsidP="000864B9">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3C1B3A69" w14:textId="77777777" w:rsidTr="00965831">
        <w:tc>
          <w:tcPr>
            <w:tcW w:w="562" w:type="dxa"/>
            <w:shd w:val="clear" w:color="auto" w:fill="auto"/>
          </w:tcPr>
          <w:p w14:paraId="2B6224DF"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6F2D36E8" w14:textId="749896EB"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34A04F74" w14:textId="4E6F2645" w:rsidR="000864B9" w:rsidRPr="002C36A4" w:rsidRDefault="000864B9" w:rsidP="000864B9">
            <w:pPr>
              <w:rPr>
                <w:rFonts w:asciiTheme="minorHAnsi" w:hAnsiTheme="minorHAnsi" w:cstheme="minorHAnsi"/>
                <w:sz w:val="22"/>
                <w:szCs w:val="22"/>
              </w:rPr>
            </w:pPr>
            <w:r w:rsidRPr="002C36A4">
              <w:rPr>
                <w:rFonts w:asciiTheme="minorHAnsi" w:hAnsiTheme="minorHAnsi" w:cstheme="minorHAnsi"/>
                <w:sz w:val="22"/>
                <w:szCs w:val="22"/>
              </w:rPr>
              <w:t>§ 7</w:t>
            </w:r>
            <w:r w:rsidR="00506CA0">
              <w:rPr>
                <w:rFonts w:asciiTheme="minorHAnsi" w:hAnsiTheme="minorHAnsi" w:cstheme="minorHAnsi"/>
                <w:sz w:val="22"/>
                <w:szCs w:val="22"/>
              </w:rPr>
              <w:t xml:space="preserve"> ust.</w:t>
            </w:r>
            <w:r w:rsidRPr="002C36A4">
              <w:rPr>
                <w:rFonts w:asciiTheme="minorHAnsi" w:hAnsiTheme="minorHAnsi" w:cstheme="minorHAnsi"/>
                <w:sz w:val="22"/>
                <w:szCs w:val="22"/>
              </w:rPr>
              <w:t>4</w:t>
            </w:r>
          </w:p>
        </w:tc>
        <w:tc>
          <w:tcPr>
            <w:tcW w:w="5103" w:type="dxa"/>
            <w:shd w:val="clear" w:color="auto" w:fill="auto"/>
          </w:tcPr>
          <w:p w14:paraId="0514E1A5" w14:textId="2EAF4732" w:rsidR="000864B9" w:rsidRPr="00B72712" w:rsidRDefault="000864B9" w:rsidP="000864B9">
            <w:pPr>
              <w:rPr>
                <w:rFonts w:asciiTheme="minorHAnsi" w:hAnsiTheme="minorHAnsi" w:cstheme="minorHAnsi"/>
                <w:sz w:val="22"/>
                <w:szCs w:val="22"/>
              </w:rPr>
            </w:pPr>
            <w:r>
              <w:rPr>
                <w:rFonts w:asciiTheme="minorHAnsi" w:hAnsiTheme="minorHAnsi" w:cstheme="minorHAnsi"/>
                <w:sz w:val="22"/>
                <w:szCs w:val="22"/>
              </w:rPr>
              <w:t xml:space="preserve">9) </w:t>
            </w:r>
            <w:r w:rsidRPr="00F763B2">
              <w:rPr>
                <w:rFonts w:asciiTheme="minorHAnsi" w:hAnsiTheme="minorHAnsi" w:cstheme="minorHAnsi"/>
                <w:sz w:val="22"/>
                <w:szCs w:val="22"/>
              </w:rPr>
              <w:t>kosztów przygotowania dokumentacji powykonawczej w rozumieniu  ustawy z dnia 7 lipca 1994 r. – Prawo budowlane</w:t>
            </w:r>
          </w:p>
        </w:tc>
        <w:tc>
          <w:tcPr>
            <w:tcW w:w="3260" w:type="dxa"/>
            <w:shd w:val="clear" w:color="auto" w:fill="auto"/>
          </w:tcPr>
          <w:p w14:paraId="0D213BE1" w14:textId="2B00A4B4" w:rsidR="000864B9" w:rsidRPr="00A06425" w:rsidRDefault="000864B9" w:rsidP="000864B9">
            <w:pPr>
              <w:rPr>
                <w:rFonts w:asciiTheme="minorHAnsi" w:hAnsiTheme="minorHAnsi" w:cstheme="minorHAnsi"/>
                <w:sz w:val="22"/>
                <w:szCs w:val="22"/>
              </w:rPr>
            </w:pPr>
            <w:r w:rsidRPr="00F763B2">
              <w:rPr>
                <w:rFonts w:asciiTheme="minorHAnsi" w:hAnsiTheme="minorHAnsi" w:cstheme="minorHAnsi"/>
                <w:sz w:val="22"/>
                <w:szCs w:val="22"/>
              </w:rPr>
              <w:t>Proponuję dookreślenie rozumienia przez wskazanie konkretnej jednostki redakcyjnej – np. art. 3 pkt 14 Prawa budowlanego</w:t>
            </w:r>
          </w:p>
        </w:tc>
        <w:tc>
          <w:tcPr>
            <w:tcW w:w="3260" w:type="dxa"/>
          </w:tcPr>
          <w:p w14:paraId="17F67EDD" w14:textId="191C13AA" w:rsidR="00AB7145" w:rsidRDefault="00AB7145" w:rsidP="00AB7145">
            <w:pPr>
              <w:rPr>
                <w:rFonts w:asciiTheme="minorHAnsi" w:hAnsiTheme="minorHAnsi" w:cstheme="minorHAnsi"/>
                <w:sz w:val="22"/>
                <w:szCs w:val="22"/>
              </w:rPr>
            </w:pPr>
            <w:r>
              <w:rPr>
                <w:rFonts w:asciiTheme="minorHAnsi" w:hAnsiTheme="minorHAnsi" w:cstheme="minorHAnsi"/>
                <w:sz w:val="22"/>
                <w:szCs w:val="22"/>
              </w:rPr>
              <w:t xml:space="preserve">Uwaga </w:t>
            </w:r>
            <w:r w:rsidR="00C938E0">
              <w:rPr>
                <w:rFonts w:asciiTheme="minorHAnsi" w:hAnsiTheme="minorHAnsi" w:cstheme="minorHAnsi"/>
                <w:sz w:val="22"/>
                <w:szCs w:val="22"/>
              </w:rPr>
              <w:t>bezprzedmiotowa</w:t>
            </w:r>
          </w:p>
          <w:p w14:paraId="666DA492" w14:textId="77777777" w:rsidR="00AB7145" w:rsidRDefault="00AB7145" w:rsidP="00AB7145">
            <w:pPr>
              <w:rPr>
                <w:rFonts w:asciiTheme="minorHAnsi" w:hAnsiTheme="minorHAnsi" w:cstheme="minorHAnsi"/>
                <w:sz w:val="22"/>
                <w:szCs w:val="22"/>
              </w:rPr>
            </w:pPr>
          </w:p>
          <w:p w14:paraId="4F02DE69" w14:textId="174F6F66" w:rsidR="000864B9" w:rsidRPr="00A06425" w:rsidRDefault="00AB7145" w:rsidP="00AB7145">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7B18B694" w14:textId="77777777" w:rsidTr="00965831">
        <w:tc>
          <w:tcPr>
            <w:tcW w:w="562" w:type="dxa"/>
            <w:shd w:val="clear" w:color="auto" w:fill="auto"/>
          </w:tcPr>
          <w:p w14:paraId="6165ADB1"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4C54428" w14:textId="1CE2AF82"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6ED478BD" w14:textId="41498CBE" w:rsidR="000864B9" w:rsidRPr="002C36A4" w:rsidRDefault="000864B9" w:rsidP="000864B9">
            <w:pPr>
              <w:rPr>
                <w:rFonts w:asciiTheme="minorHAnsi" w:hAnsiTheme="minorHAnsi" w:cstheme="minorHAnsi"/>
                <w:sz w:val="22"/>
                <w:szCs w:val="22"/>
              </w:rPr>
            </w:pPr>
            <w:r w:rsidRPr="002C36A4">
              <w:rPr>
                <w:rFonts w:asciiTheme="minorHAnsi" w:hAnsiTheme="minorHAnsi" w:cstheme="minorHAnsi"/>
                <w:sz w:val="22"/>
                <w:szCs w:val="22"/>
              </w:rPr>
              <w:t>§ 7</w:t>
            </w:r>
            <w:r w:rsidR="00506CA0">
              <w:rPr>
                <w:rFonts w:asciiTheme="minorHAnsi" w:hAnsiTheme="minorHAnsi" w:cstheme="minorHAnsi"/>
                <w:sz w:val="22"/>
                <w:szCs w:val="22"/>
              </w:rPr>
              <w:t xml:space="preserve"> ust. </w:t>
            </w:r>
            <w:r w:rsidRPr="002C36A4">
              <w:rPr>
                <w:rFonts w:asciiTheme="minorHAnsi" w:hAnsiTheme="minorHAnsi" w:cstheme="minorHAnsi"/>
                <w:sz w:val="22"/>
                <w:szCs w:val="22"/>
              </w:rPr>
              <w:t>6</w:t>
            </w:r>
          </w:p>
        </w:tc>
        <w:tc>
          <w:tcPr>
            <w:tcW w:w="5103" w:type="dxa"/>
            <w:shd w:val="clear" w:color="auto" w:fill="auto"/>
          </w:tcPr>
          <w:p w14:paraId="386FB915" w14:textId="3FEC44B8" w:rsidR="000864B9" w:rsidRPr="00F763B2" w:rsidRDefault="000864B9" w:rsidP="000864B9">
            <w:pPr>
              <w:rPr>
                <w:rFonts w:asciiTheme="minorHAnsi" w:hAnsiTheme="minorHAnsi" w:cstheme="minorHAnsi"/>
                <w:bCs/>
                <w:sz w:val="22"/>
                <w:szCs w:val="22"/>
              </w:rPr>
            </w:pPr>
            <w:r w:rsidRPr="00F763B2">
              <w:rPr>
                <w:rFonts w:asciiTheme="minorHAnsi" w:hAnsiTheme="minorHAnsi" w:cstheme="minorHAnsi"/>
                <w:bCs/>
                <w:sz w:val="22"/>
                <w:szCs w:val="22"/>
              </w:rPr>
              <w:t>Cenę nabycia wartości niematerialnych i prawnych oraz środków trwałych, kwalifikujących się do objęcia wsparciem, ustala się zgodnie z przepisami ustawy z dnia 29 września 1994 r. o rachunkowości.</w:t>
            </w:r>
          </w:p>
          <w:p w14:paraId="6828CC11" w14:textId="77777777" w:rsidR="000864B9" w:rsidRPr="00B72712" w:rsidRDefault="000864B9" w:rsidP="000864B9">
            <w:pPr>
              <w:rPr>
                <w:rFonts w:asciiTheme="minorHAnsi" w:hAnsiTheme="minorHAnsi" w:cstheme="minorHAnsi"/>
                <w:sz w:val="22"/>
                <w:szCs w:val="22"/>
              </w:rPr>
            </w:pPr>
          </w:p>
        </w:tc>
        <w:tc>
          <w:tcPr>
            <w:tcW w:w="3260" w:type="dxa"/>
            <w:shd w:val="clear" w:color="auto" w:fill="auto"/>
          </w:tcPr>
          <w:p w14:paraId="0029871D" w14:textId="760831C7" w:rsidR="000864B9" w:rsidRPr="00A06425" w:rsidRDefault="000864B9" w:rsidP="000864B9">
            <w:pPr>
              <w:rPr>
                <w:rFonts w:asciiTheme="minorHAnsi" w:hAnsiTheme="minorHAnsi" w:cstheme="minorHAnsi"/>
                <w:sz w:val="22"/>
                <w:szCs w:val="22"/>
              </w:rPr>
            </w:pPr>
            <w:r w:rsidRPr="00C56224">
              <w:rPr>
                <w:rFonts w:asciiTheme="minorHAnsi" w:hAnsiTheme="minorHAnsi" w:cstheme="minorHAnsi"/>
                <w:sz w:val="22"/>
                <w:szCs w:val="22"/>
              </w:rPr>
              <w:t>Proponuję dookreślenie przez wskazanie zakresu przedmiotowego albo konkretnej jednostki redakcyjnej ustawy o rachunkowości.</w:t>
            </w:r>
          </w:p>
        </w:tc>
        <w:tc>
          <w:tcPr>
            <w:tcW w:w="3260" w:type="dxa"/>
          </w:tcPr>
          <w:p w14:paraId="62941D14" w14:textId="3DA93E4C" w:rsidR="00AB7145" w:rsidRDefault="00AB7145" w:rsidP="00AB7145">
            <w:pPr>
              <w:rPr>
                <w:rFonts w:asciiTheme="minorHAnsi" w:hAnsiTheme="minorHAnsi" w:cstheme="minorHAnsi"/>
                <w:sz w:val="22"/>
                <w:szCs w:val="22"/>
              </w:rPr>
            </w:pPr>
            <w:r>
              <w:rPr>
                <w:rFonts w:asciiTheme="minorHAnsi" w:hAnsiTheme="minorHAnsi" w:cstheme="minorHAnsi"/>
                <w:sz w:val="22"/>
                <w:szCs w:val="22"/>
              </w:rPr>
              <w:t xml:space="preserve">Uwaga </w:t>
            </w:r>
            <w:r w:rsidR="00C938E0">
              <w:rPr>
                <w:rFonts w:asciiTheme="minorHAnsi" w:hAnsiTheme="minorHAnsi" w:cstheme="minorHAnsi"/>
                <w:sz w:val="22"/>
                <w:szCs w:val="22"/>
              </w:rPr>
              <w:t>bezprzedmiotowa</w:t>
            </w:r>
          </w:p>
          <w:p w14:paraId="672C85FE" w14:textId="77777777" w:rsidR="00AB7145" w:rsidRDefault="00AB7145" w:rsidP="00AB7145">
            <w:pPr>
              <w:rPr>
                <w:rFonts w:asciiTheme="minorHAnsi" w:hAnsiTheme="minorHAnsi" w:cstheme="minorHAnsi"/>
                <w:sz w:val="22"/>
                <w:szCs w:val="22"/>
              </w:rPr>
            </w:pPr>
          </w:p>
          <w:p w14:paraId="54311C54" w14:textId="321D5989" w:rsidR="000864B9" w:rsidRPr="00A06425" w:rsidRDefault="00AB7145" w:rsidP="00AB7145">
            <w:pPr>
              <w:rPr>
                <w:rFonts w:asciiTheme="minorHAnsi" w:hAnsiTheme="minorHAnsi" w:cstheme="minorHAnsi"/>
                <w:sz w:val="22"/>
                <w:szCs w:val="22"/>
              </w:rPr>
            </w:pPr>
            <w:r>
              <w:rPr>
                <w:rFonts w:asciiTheme="minorHAnsi" w:hAnsiTheme="minorHAnsi" w:cstheme="minorHAnsi"/>
                <w:sz w:val="22"/>
                <w:szCs w:val="22"/>
              </w:rPr>
              <w:t>Projektowany przepis skreślono z projektu.</w:t>
            </w:r>
          </w:p>
        </w:tc>
      </w:tr>
      <w:tr w:rsidR="000864B9" w:rsidRPr="00A06425" w14:paraId="629865CF" w14:textId="77777777" w:rsidTr="00965831">
        <w:tc>
          <w:tcPr>
            <w:tcW w:w="562" w:type="dxa"/>
            <w:shd w:val="clear" w:color="auto" w:fill="auto"/>
          </w:tcPr>
          <w:p w14:paraId="415475FB" w14:textId="77777777"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603F0309" w14:textId="3F73C4B3" w:rsidR="000864B9" w:rsidRPr="00A06425" w:rsidRDefault="000864B9" w:rsidP="000864B9">
            <w:pPr>
              <w:spacing w:before="60" w:after="60"/>
              <w:rPr>
                <w:rFonts w:asciiTheme="minorHAnsi" w:hAnsiTheme="minorHAnsi" w:cstheme="minorHAnsi"/>
                <w:b/>
                <w:sz w:val="22"/>
                <w:szCs w:val="22"/>
              </w:rPr>
            </w:pPr>
            <w:r w:rsidRPr="003B667C">
              <w:rPr>
                <w:rFonts w:asciiTheme="minorHAnsi" w:hAnsiTheme="minorHAnsi" w:cstheme="minorHAnsi"/>
                <w:b/>
                <w:sz w:val="22"/>
                <w:szCs w:val="22"/>
              </w:rPr>
              <w:t>RCL</w:t>
            </w:r>
          </w:p>
        </w:tc>
        <w:tc>
          <w:tcPr>
            <w:tcW w:w="1843" w:type="dxa"/>
            <w:shd w:val="clear" w:color="auto" w:fill="auto"/>
          </w:tcPr>
          <w:p w14:paraId="6C645CD7" w14:textId="066629F5" w:rsidR="000864B9" w:rsidRPr="00A06425" w:rsidRDefault="002C36A4" w:rsidP="000864B9">
            <w:pPr>
              <w:rPr>
                <w:rFonts w:asciiTheme="minorHAnsi" w:hAnsiTheme="minorHAnsi" w:cstheme="minorHAnsi"/>
                <w:sz w:val="22"/>
                <w:szCs w:val="22"/>
              </w:rPr>
            </w:pPr>
            <w:r w:rsidRPr="002C36A4">
              <w:rPr>
                <w:rFonts w:asciiTheme="minorHAnsi" w:hAnsiTheme="minorHAnsi" w:cstheme="minorHAnsi"/>
                <w:sz w:val="22"/>
                <w:szCs w:val="22"/>
              </w:rPr>
              <w:t>§ 8</w:t>
            </w:r>
            <w:r w:rsidR="00506CA0">
              <w:rPr>
                <w:rFonts w:asciiTheme="minorHAnsi" w:hAnsiTheme="minorHAnsi" w:cstheme="minorHAnsi"/>
                <w:sz w:val="22"/>
                <w:szCs w:val="22"/>
              </w:rPr>
              <w:t xml:space="preserve"> ust</w:t>
            </w:r>
            <w:r w:rsidRPr="002C36A4">
              <w:rPr>
                <w:rFonts w:asciiTheme="minorHAnsi" w:hAnsiTheme="minorHAnsi" w:cstheme="minorHAnsi"/>
                <w:sz w:val="22"/>
                <w:szCs w:val="22"/>
              </w:rPr>
              <w:t>. 1</w:t>
            </w:r>
          </w:p>
        </w:tc>
        <w:tc>
          <w:tcPr>
            <w:tcW w:w="5103" w:type="dxa"/>
            <w:shd w:val="clear" w:color="auto" w:fill="auto"/>
          </w:tcPr>
          <w:p w14:paraId="614A8583" w14:textId="16B916F2" w:rsidR="000864B9" w:rsidRPr="00B72712" w:rsidRDefault="000864B9" w:rsidP="000864B9">
            <w:pPr>
              <w:rPr>
                <w:rFonts w:asciiTheme="minorHAnsi" w:hAnsiTheme="minorHAnsi" w:cstheme="minorHAnsi"/>
                <w:sz w:val="22"/>
                <w:szCs w:val="22"/>
              </w:rPr>
            </w:pPr>
            <w:r w:rsidRPr="002C36A4">
              <w:rPr>
                <w:rFonts w:asciiTheme="minorHAnsi" w:hAnsiTheme="minorHAnsi" w:cstheme="minorHAnsi"/>
                <w:sz w:val="22"/>
                <w:szCs w:val="22"/>
              </w:rPr>
              <w:t>§ 8. 1</w:t>
            </w:r>
            <w:r w:rsidRPr="009D20DF">
              <w:rPr>
                <w:rFonts w:asciiTheme="minorHAnsi" w:hAnsiTheme="minorHAnsi" w:cstheme="minorHAnsi"/>
                <w:sz w:val="22"/>
                <w:szCs w:val="22"/>
              </w:rPr>
              <w:t>. Maksymalna intensywność wsparcia nie może przekroczyć 100% wydatków kwalifikujących się do objęcia wsparciem.</w:t>
            </w:r>
          </w:p>
        </w:tc>
        <w:tc>
          <w:tcPr>
            <w:tcW w:w="3260" w:type="dxa"/>
            <w:shd w:val="clear" w:color="auto" w:fill="auto"/>
          </w:tcPr>
          <w:p w14:paraId="02F0D187" w14:textId="2E63EECC" w:rsidR="000864B9" w:rsidRPr="00A06425" w:rsidRDefault="000864B9" w:rsidP="000864B9">
            <w:pPr>
              <w:rPr>
                <w:rFonts w:asciiTheme="minorHAnsi" w:hAnsiTheme="minorHAnsi" w:cstheme="minorHAnsi"/>
                <w:sz w:val="22"/>
                <w:szCs w:val="22"/>
              </w:rPr>
            </w:pPr>
            <w:r w:rsidRPr="009D20DF">
              <w:rPr>
                <w:rFonts w:asciiTheme="minorHAnsi" w:hAnsiTheme="minorHAnsi" w:cstheme="minorHAnsi"/>
                <w:sz w:val="22"/>
                <w:szCs w:val="22"/>
              </w:rPr>
              <w:t>Dookreślenie jest zbędne – dodatkowo słownik pojęć odnosi się do „intensywności wsparcia”.</w:t>
            </w:r>
          </w:p>
        </w:tc>
        <w:tc>
          <w:tcPr>
            <w:tcW w:w="3260" w:type="dxa"/>
          </w:tcPr>
          <w:p w14:paraId="52BB4F40" w14:textId="77777777" w:rsidR="000864B9" w:rsidRDefault="002C36A4" w:rsidP="000864B9">
            <w:pPr>
              <w:rPr>
                <w:rFonts w:asciiTheme="minorHAnsi" w:hAnsiTheme="minorHAnsi" w:cstheme="minorHAnsi"/>
                <w:sz w:val="22"/>
                <w:szCs w:val="22"/>
              </w:rPr>
            </w:pPr>
            <w:r>
              <w:rPr>
                <w:rFonts w:asciiTheme="minorHAnsi" w:hAnsiTheme="minorHAnsi" w:cstheme="minorHAnsi"/>
                <w:sz w:val="22"/>
                <w:szCs w:val="22"/>
              </w:rPr>
              <w:t>Uwaga uwzględniona</w:t>
            </w:r>
          </w:p>
          <w:p w14:paraId="76DC3D7D" w14:textId="77777777" w:rsidR="00AB7145" w:rsidRDefault="00AB7145" w:rsidP="000864B9">
            <w:pPr>
              <w:rPr>
                <w:rFonts w:asciiTheme="minorHAnsi" w:hAnsiTheme="minorHAnsi" w:cstheme="minorHAnsi"/>
                <w:sz w:val="22"/>
                <w:szCs w:val="22"/>
              </w:rPr>
            </w:pPr>
          </w:p>
          <w:p w14:paraId="6BA2E0D6" w14:textId="7A2FCC2F" w:rsidR="00AB7145" w:rsidRPr="00A06425" w:rsidRDefault="00AB7145" w:rsidP="000864B9">
            <w:pPr>
              <w:rPr>
                <w:rFonts w:asciiTheme="minorHAnsi" w:hAnsiTheme="minorHAnsi" w:cstheme="minorHAnsi"/>
                <w:sz w:val="22"/>
                <w:szCs w:val="22"/>
              </w:rPr>
            </w:pPr>
            <w:r>
              <w:rPr>
                <w:rFonts w:asciiTheme="minorHAnsi" w:hAnsiTheme="minorHAnsi" w:cstheme="minorHAnsi"/>
                <w:sz w:val="22"/>
                <w:szCs w:val="22"/>
              </w:rPr>
              <w:t>Przepis został przeformułowany.</w:t>
            </w:r>
          </w:p>
        </w:tc>
      </w:tr>
      <w:tr w:rsidR="00A44916" w:rsidRPr="00A06425" w14:paraId="51ADEB67" w14:textId="77777777" w:rsidTr="00965831">
        <w:tc>
          <w:tcPr>
            <w:tcW w:w="562" w:type="dxa"/>
            <w:shd w:val="clear" w:color="auto" w:fill="auto"/>
          </w:tcPr>
          <w:p w14:paraId="50923622" w14:textId="77777777" w:rsidR="00A44916" w:rsidRPr="00965831" w:rsidRDefault="00A44916"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43391C4" w14:textId="7E307CEF" w:rsidR="00A44916" w:rsidRPr="00A06425" w:rsidRDefault="000864B9" w:rsidP="00E260CB">
            <w:pPr>
              <w:spacing w:before="60" w:after="60"/>
              <w:rPr>
                <w:rFonts w:asciiTheme="minorHAnsi" w:hAnsiTheme="minorHAnsi" w:cstheme="minorHAnsi"/>
                <w:b/>
                <w:sz w:val="22"/>
                <w:szCs w:val="22"/>
              </w:rPr>
            </w:pPr>
            <w:r>
              <w:rPr>
                <w:rFonts w:asciiTheme="minorHAnsi" w:hAnsiTheme="minorHAnsi" w:cstheme="minorHAnsi"/>
                <w:b/>
                <w:sz w:val="22"/>
                <w:szCs w:val="22"/>
              </w:rPr>
              <w:t>MRiRW</w:t>
            </w:r>
          </w:p>
        </w:tc>
        <w:tc>
          <w:tcPr>
            <w:tcW w:w="1843" w:type="dxa"/>
            <w:shd w:val="clear" w:color="auto" w:fill="auto"/>
          </w:tcPr>
          <w:p w14:paraId="196BD6C2" w14:textId="6EF43605" w:rsidR="00A44916" w:rsidRPr="00A06425" w:rsidRDefault="002C36A4" w:rsidP="00E260CB">
            <w:pPr>
              <w:rPr>
                <w:rFonts w:asciiTheme="minorHAnsi" w:hAnsiTheme="minorHAnsi" w:cstheme="minorHAnsi"/>
                <w:sz w:val="22"/>
                <w:szCs w:val="22"/>
              </w:rPr>
            </w:pPr>
            <w:r w:rsidRPr="002C36A4">
              <w:rPr>
                <w:rFonts w:asciiTheme="minorHAnsi" w:hAnsiTheme="minorHAnsi" w:cstheme="minorHAnsi"/>
                <w:sz w:val="22"/>
                <w:szCs w:val="22"/>
              </w:rPr>
              <w:t>§ 4 w ust. 3</w:t>
            </w:r>
          </w:p>
        </w:tc>
        <w:tc>
          <w:tcPr>
            <w:tcW w:w="5103" w:type="dxa"/>
            <w:shd w:val="clear" w:color="auto" w:fill="auto"/>
          </w:tcPr>
          <w:p w14:paraId="591AA00D" w14:textId="3B28AB50" w:rsidR="00A44916" w:rsidRPr="00B72712" w:rsidRDefault="000118FC" w:rsidP="00E260CB">
            <w:pPr>
              <w:rPr>
                <w:rFonts w:asciiTheme="minorHAnsi" w:hAnsiTheme="minorHAnsi" w:cstheme="minorHAnsi"/>
                <w:sz w:val="22"/>
                <w:szCs w:val="22"/>
              </w:rPr>
            </w:pPr>
            <w:r w:rsidRPr="000118FC">
              <w:rPr>
                <w:rFonts w:asciiTheme="minorHAnsi" w:hAnsiTheme="minorHAnsi" w:cstheme="minorHAnsi"/>
                <w:sz w:val="22"/>
                <w:szCs w:val="22"/>
              </w:rPr>
              <w:t>w § 4 w ust. 3 projektu rozporządzenia wskazuje się na listę obszarów, którą ustala się przed ogłoszeniem procedury wyboru, na podstawie informacji o istniejącej oraz planowanej infrastrukturze szerokopasmowej. Należałoby doprecyzować jak będzie ustalana kolejność na liście obszarów, które otrzymają wsparcie</w:t>
            </w:r>
          </w:p>
        </w:tc>
        <w:tc>
          <w:tcPr>
            <w:tcW w:w="3260" w:type="dxa"/>
            <w:shd w:val="clear" w:color="auto" w:fill="auto"/>
          </w:tcPr>
          <w:p w14:paraId="6D7AE8D0" w14:textId="77777777" w:rsidR="00A44916" w:rsidRPr="00A06425" w:rsidRDefault="00A44916" w:rsidP="00E260CB">
            <w:pPr>
              <w:rPr>
                <w:rFonts w:asciiTheme="minorHAnsi" w:hAnsiTheme="minorHAnsi" w:cstheme="minorHAnsi"/>
                <w:sz w:val="22"/>
                <w:szCs w:val="22"/>
              </w:rPr>
            </w:pPr>
          </w:p>
        </w:tc>
        <w:tc>
          <w:tcPr>
            <w:tcW w:w="3260" w:type="dxa"/>
          </w:tcPr>
          <w:p w14:paraId="28398254" w14:textId="77777777" w:rsidR="00AB7145" w:rsidRDefault="00AB7145" w:rsidP="00E260CB">
            <w:pPr>
              <w:rPr>
                <w:rFonts w:asciiTheme="minorHAnsi" w:hAnsiTheme="minorHAnsi" w:cstheme="minorHAnsi"/>
                <w:sz w:val="22"/>
                <w:szCs w:val="22"/>
              </w:rPr>
            </w:pPr>
            <w:r>
              <w:rPr>
                <w:rFonts w:asciiTheme="minorHAnsi" w:hAnsiTheme="minorHAnsi" w:cstheme="minorHAnsi"/>
                <w:sz w:val="22"/>
                <w:szCs w:val="22"/>
              </w:rPr>
              <w:t>Uwaga nieuwzględniona</w:t>
            </w:r>
          </w:p>
          <w:p w14:paraId="3EFFDA6D" w14:textId="77777777" w:rsidR="00AB7145" w:rsidRDefault="00AB7145" w:rsidP="00E260CB">
            <w:pPr>
              <w:rPr>
                <w:rFonts w:asciiTheme="minorHAnsi" w:hAnsiTheme="minorHAnsi" w:cstheme="minorHAnsi"/>
                <w:sz w:val="22"/>
                <w:szCs w:val="22"/>
              </w:rPr>
            </w:pPr>
          </w:p>
          <w:p w14:paraId="1F426874" w14:textId="56E33CFD" w:rsidR="00A44916" w:rsidRPr="00A06425" w:rsidRDefault="002C36A4" w:rsidP="00AB7145">
            <w:pPr>
              <w:rPr>
                <w:rFonts w:asciiTheme="minorHAnsi" w:hAnsiTheme="minorHAnsi" w:cstheme="minorHAnsi"/>
                <w:sz w:val="22"/>
                <w:szCs w:val="22"/>
              </w:rPr>
            </w:pPr>
            <w:r>
              <w:rPr>
                <w:rFonts w:asciiTheme="minorHAnsi" w:hAnsiTheme="minorHAnsi" w:cstheme="minorHAnsi"/>
                <w:sz w:val="22"/>
                <w:szCs w:val="22"/>
              </w:rPr>
              <w:t>Rozporządzenie nie przesądza</w:t>
            </w:r>
            <w:r w:rsidR="00AB7145">
              <w:rPr>
                <w:rFonts w:asciiTheme="minorHAnsi" w:hAnsiTheme="minorHAnsi" w:cstheme="minorHAnsi"/>
                <w:sz w:val="22"/>
                <w:szCs w:val="22"/>
              </w:rPr>
              <w:t>,</w:t>
            </w:r>
            <w:r>
              <w:rPr>
                <w:rFonts w:asciiTheme="minorHAnsi" w:hAnsiTheme="minorHAnsi" w:cstheme="minorHAnsi"/>
                <w:sz w:val="22"/>
                <w:szCs w:val="22"/>
              </w:rPr>
              <w:t xml:space="preserve"> gdzie</w:t>
            </w:r>
            <w:r w:rsidR="00AB7145">
              <w:rPr>
                <w:rFonts w:asciiTheme="minorHAnsi" w:hAnsiTheme="minorHAnsi" w:cstheme="minorHAnsi"/>
                <w:sz w:val="22"/>
                <w:szCs w:val="22"/>
              </w:rPr>
              <w:t xml:space="preserve"> dokładnie (ostatecznie) zostanie udzielona</w:t>
            </w:r>
            <w:r>
              <w:rPr>
                <w:rFonts w:asciiTheme="minorHAnsi" w:hAnsiTheme="minorHAnsi" w:cstheme="minorHAnsi"/>
                <w:sz w:val="22"/>
                <w:szCs w:val="22"/>
              </w:rPr>
              <w:t xml:space="preserve"> </w:t>
            </w:r>
            <w:r w:rsidR="00AB7145">
              <w:rPr>
                <w:rFonts w:asciiTheme="minorHAnsi" w:hAnsiTheme="minorHAnsi" w:cstheme="minorHAnsi"/>
                <w:sz w:val="22"/>
                <w:szCs w:val="22"/>
              </w:rPr>
              <w:t>pomoc,</w:t>
            </w:r>
            <w:r>
              <w:rPr>
                <w:rFonts w:asciiTheme="minorHAnsi" w:hAnsiTheme="minorHAnsi" w:cstheme="minorHAnsi"/>
                <w:sz w:val="22"/>
                <w:szCs w:val="22"/>
              </w:rPr>
              <w:t xml:space="preserve"> </w:t>
            </w:r>
            <w:r w:rsidR="00AB7145">
              <w:rPr>
                <w:rFonts w:asciiTheme="minorHAnsi" w:hAnsiTheme="minorHAnsi" w:cstheme="minorHAnsi"/>
                <w:sz w:val="22"/>
                <w:szCs w:val="22"/>
              </w:rPr>
              <w:t xml:space="preserve">a jedynie określa ogólną regułę, w jaki sposób ustalane są obszary, na których </w:t>
            </w:r>
            <w:r>
              <w:rPr>
                <w:rFonts w:asciiTheme="minorHAnsi" w:hAnsiTheme="minorHAnsi" w:cstheme="minorHAnsi"/>
                <w:sz w:val="22"/>
                <w:szCs w:val="22"/>
              </w:rPr>
              <w:t>mogą być realizow</w:t>
            </w:r>
            <w:r w:rsidR="00AB7145">
              <w:rPr>
                <w:rFonts w:asciiTheme="minorHAnsi" w:hAnsiTheme="minorHAnsi" w:cstheme="minorHAnsi"/>
                <w:sz w:val="22"/>
                <w:szCs w:val="22"/>
              </w:rPr>
              <w:t>ane przedsięwzięcia. Nie jest możliwe wskazanie w r</w:t>
            </w:r>
            <w:r>
              <w:rPr>
                <w:rFonts w:asciiTheme="minorHAnsi" w:hAnsiTheme="minorHAnsi" w:cstheme="minorHAnsi"/>
                <w:sz w:val="22"/>
                <w:szCs w:val="22"/>
              </w:rPr>
              <w:t xml:space="preserve">ozporządzeniu kolejności realizacji projektów. </w:t>
            </w:r>
            <w:r w:rsidR="003C453A">
              <w:rPr>
                <w:rFonts w:asciiTheme="minorHAnsi" w:hAnsiTheme="minorHAnsi" w:cstheme="minorHAnsi"/>
                <w:sz w:val="22"/>
                <w:szCs w:val="22"/>
              </w:rPr>
              <w:t xml:space="preserve">W ramach konkursów nie jest </w:t>
            </w:r>
            <w:r w:rsidR="00AB7145">
              <w:rPr>
                <w:rFonts w:asciiTheme="minorHAnsi" w:hAnsiTheme="minorHAnsi" w:cstheme="minorHAnsi"/>
                <w:sz w:val="22"/>
                <w:szCs w:val="22"/>
              </w:rPr>
              <w:t xml:space="preserve">również </w:t>
            </w:r>
            <w:r w:rsidR="003C453A">
              <w:rPr>
                <w:rFonts w:asciiTheme="minorHAnsi" w:hAnsiTheme="minorHAnsi" w:cstheme="minorHAnsi"/>
                <w:sz w:val="22"/>
                <w:szCs w:val="22"/>
              </w:rPr>
              <w:t>ustalana „kolejność obszarów, które otrzymają wsparcie”.</w:t>
            </w:r>
          </w:p>
        </w:tc>
      </w:tr>
      <w:tr w:rsidR="000864B9" w:rsidRPr="00A06425" w14:paraId="76FEECC8" w14:textId="77777777" w:rsidTr="00965831">
        <w:tc>
          <w:tcPr>
            <w:tcW w:w="562" w:type="dxa"/>
            <w:shd w:val="clear" w:color="auto" w:fill="auto"/>
          </w:tcPr>
          <w:p w14:paraId="2FAE61D7" w14:textId="414995AD"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4FEC3252" w14:textId="4ED896CF" w:rsidR="000864B9" w:rsidRPr="00A06425" w:rsidRDefault="002C36A4" w:rsidP="00E260CB">
            <w:pPr>
              <w:spacing w:before="60" w:after="60"/>
              <w:rPr>
                <w:rFonts w:asciiTheme="minorHAnsi" w:hAnsiTheme="minorHAnsi" w:cstheme="minorHAnsi"/>
                <w:b/>
                <w:sz w:val="22"/>
                <w:szCs w:val="22"/>
              </w:rPr>
            </w:pPr>
            <w:r>
              <w:rPr>
                <w:rFonts w:asciiTheme="minorHAnsi" w:hAnsiTheme="minorHAnsi" w:cstheme="minorHAnsi"/>
                <w:b/>
                <w:sz w:val="22"/>
                <w:szCs w:val="22"/>
              </w:rPr>
              <w:t>MRiRW</w:t>
            </w:r>
          </w:p>
        </w:tc>
        <w:tc>
          <w:tcPr>
            <w:tcW w:w="1843" w:type="dxa"/>
            <w:shd w:val="clear" w:color="auto" w:fill="auto"/>
          </w:tcPr>
          <w:p w14:paraId="33535CFD" w14:textId="406D31ED" w:rsidR="000864B9" w:rsidRPr="00A06425" w:rsidRDefault="002C36A4" w:rsidP="00E260CB">
            <w:pPr>
              <w:rPr>
                <w:rFonts w:asciiTheme="minorHAnsi" w:hAnsiTheme="minorHAnsi" w:cstheme="minorHAnsi"/>
                <w:sz w:val="22"/>
                <w:szCs w:val="22"/>
              </w:rPr>
            </w:pPr>
            <w:r w:rsidRPr="000118FC">
              <w:rPr>
                <w:rFonts w:asciiTheme="minorHAnsi" w:hAnsiTheme="minorHAnsi" w:cstheme="minorHAnsi"/>
                <w:sz w:val="22"/>
                <w:szCs w:val="22"/>
              </w:rPr>
              <w:t>§ 6 w ust. 3</w:t>
            </w:r>
          </w:p>
        </w:tc>
        <w:tc>
          <w:tcPr>
            <w:tcW w:w="5103" w:type="dxa"/>
            <w:shd w:val="clear" w:color="auto" w:fill="auto"/>
          </w:tcPr>
          <w:p w14:paraId="202330A7" w14:textId="49AA1BF7" w:rsidR="000864B9" w:rsidRPr="00B72712" w:rsidRDefault="000118FC" w:rsidP="00E260CB">
            <w:pPr>
              <w:rPr>
                <w:rFonts w:asciiTheme="minorHAnsi" w:hAnsiTheme="minorHAnsi" w:cstheme="minorHAnsi"/>
                <w:sz w:val="22"/>
                <w:szCs w:val="22"/>
              </w:rPr>
            </w:pPr>
            <w:r w:rsidRPr="000118FC">
              <w:rPr>
                <w:rFonts w:asciiTheme="minorHAnsi" w:hAnsiTheme="minorHAnsi" w:cstheme="minorHAnsi"/>
                <w:sz w:val="22"/>
                <w:szCs w:val="22"/>
              </w:rPr>
              <w:t>w § 6 w ust. 3 przedmiotowego rozporządzenia wskazano, że "równowartość udzielonego wsparcia oblicza się przy zastosowaniu średniego dziennego kursu euro ustalonego przez Narodowy Bank Polski w dniu udzielenia pomocy". Zgodnie z informacjami przekazywanymi przez Instytucję Koordynującą KPO (MFiPR), kurs ten jest stały i wynosi 1 EUR = 4,4819 PLN (i przy takim kursie kwota inwestycji jest przeliczana w porozumieniu ws. realizacji reform/inwestycji).</w:t>
            </w:r>
          </w:p>
        </w:tc>
        <w:tc>
          <w:tcPr>
            <w:tcW w:w="3260" w:type="dxa"/>
            <w:shd w:val="clear" w:color="auto" w:fill="auto"/>
          </w:tcPr>
          <w:p w14:paraId="010E28E0" w14:textId="77777777" w:rsidR="000864B9" w:rsidRPr="00A06425" w:rsidRDefault="000864B9" w:rsidP="00E260CB">
            <w:pPr>
              <w:rPr>
                <w:rFonts w:asciiTheme="minorHAnsi" w:hAnsiTheme="minorHAnsi" w:cstheme="minorHAnsi"/>
                <w:sz w:val="22"/>
                <w:szCs w:val="22"/>
              </w:rPr>
            </w:pPr>
          </w:p>
        </w:tc>
        <w:tc>
          <w:tcPr>
            <w:tcW w:w="3260" w:type="dxa"/>
          </w:tcPr>
          <w:p w14:paraId="6EC4DA51" w14:textId="77777777" w:rsidR="002F0F2A" w:rsidRDefault="002F0F2A" w:rsidP="00E260CB">
            <w:pPr>
              <w:rPr>
                <w:rFonts w:asciiTheme="minorHAnsi" w:hAnsiTheme="minorHAnsi" w:cstheme="minorHAnsi"/>
                <w:sz w:val="22"/>
                <w:szCs w:val="22"/>
              </w:rPr>
            </w:pPr>
            <w:r>
              <w:rPr>
                <w:rFonts w:asciiTheme="minorHAnsi" w:hAnsiTheme="minorHAnsi" w:cstheme="minorHAnsi"/>
                <w:sz w:val="22"/>
                <w:szCs w:val="22"/>
              </w:rPr>
              <w:t>Uwaga nieuwzględniona</w:t>
            </w:r>
          </w:p>
          <w:p w14:paraId="1F9E2E65" w14:textId="77777777" w:rsidR="002F0F2A" w:rsidRDefault="002F0F2A" w:rsidP="00E260CB">
            <w:pPr>
              <w:rPr>
                <w:rFonts w:asciiTheme="minorHAnsi" w:hAnsiTheme="minorHAnsi" w:cstheme="minorHAnsi"/>
                <w:sz w:val="22"/>
                <w:szCs w:val="22"/>
              </w:rPr>
            </w:pPr>
          </w:p>
          <w:p w14:paraId="1742C151" w14:textId="57F1E640" w:rsidR="000864B9" w:rsidRPr="00A06425" w:rsidRDefault="002F0F2A" w:rsidP="002F0F2A">
            <w:pPr>
              <w:rPr>
                <w:rFonts w:asciiTheme="minorHAnsi" w:hAnsiTheme="minorHAnsi" w:cstheme="minorHAnsi"/>
                <w:sz w:val="22"/>
                <w:szCs w:val="22"/>
              </w:rPr>
            </w:pPr>
            <w:r>
              <w:rPr>
                <w:rFonts w:asciiTheme="minorHAnsi" w:hAnsiTheme="minorHAnsi" w:cstheme="minorHAnsi"/>
                <w:sz w:val="22"/>
                <w:szCs w:val="22"/>
              </w:rPr>
              <w:t xml:space="preserve">Projektowany przepis </w:t>
            </w:r>
            <w:r w:rsidR="002C36A4">
              <w:rPr>
                <w:rFonts w:asciiTheme="minorHAnsi" w:hAnsiTheme="minorHAnsi" w:cstheme="minorHAnsi"/>
                <w:sz w:val="22"/>
                <w:szCs w:val="22"/>
              </w:rPr>
              <w:t>dotyczy udzielania pomocy publicznej przedsiębiorcy</w:t>
            </w:r>
            <w:r>
              <w:rPr>
                <w:rFonts w:asciiTheme="minorHAnsi" w:hAnsiTheme="minorHAnsi" w:cstheme="minorHAnsi"/>
                <w:sz w:val="22"/>
                <w:szCs w:val="22"/>
              </w:rPr>
              <w:t>, a nie rozliczeń systemowych</w:t>
            </w:r>
            <w:r w:rsidR="002C36A4">
              <w:rPr>
                <w:rFonts w:asciiTheme="minorHAnsi" w:hAnsiTheme="minorHAnsi" w:cstheme="minorHAnsi"/>
                <w:sz w:val="22"/>
                <w:szCs w:val="22"/>
              </w:rPr>
              <w:t xml:space="preserve"> </w:t>
            </w:r>
            <w:r>
              <w:rPr>
                <w:rFonts w:asciiTheme="minorHAnsi" w:hAnsiTheme="minorHAnsi" w:cstheme="minorHAnsi"/>
                <w:sz w:val="22"/>
                <w:szCs w:val="22"/>
              </w:rPr>
              <w:t xml:space="preserve">w obszarze wdrażania </w:t>
            </w:r>
            <w:r w:rsidR="002C36A4">
              <w:rPr>
                <w:rFonts w:asciiTheme="minorHAnsi" w:hAnsiTheme="minorHAnsi" w:cstheme="minorHAnsi"/>
                <w:sz w:val="22"/>
                <w:szCs w:val="22"/>
              </w:rPr>
              <w:t>KPO.</w:t>
            </w:r>
          </w:p>
        </w:tc>
      </w:tr>
      <w:tr w:rsidR="000864B9" w:rsidRPr="00A06425" w14:paraId="3A578CA5" w14:textId="77777777" w:rsidTr="00965831">
        <w:tc>
          <w:tcPr>
            <w:tcW w:w="562" w:type="dxa"/>
            <w:shd w:val="clear" w:color="auto" w:fill="auto"/>
          </w:tcPr>
          <w:p w14:paraId="1B57E8BB" w14:textId="10F845E5"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68819D7" w14:textId="5B6BDA71" w:rsidR="000864B9" w:rsidRPr="00A06425" w:rsidRDefault="002118F0" w:rsidP="00E260CB">
            <w:pPr>
              <w:spacing w:before="60" w:after="60"/>
              <w:rPr>
                <w:rFonts w:asciiTheme="minorHAnsi" w:hAnsiTheme="minorHAnsi" w:cstheme="minorHAnsi"/>
                <w:b/>
                <w:sz w:val="22"/>
                <w:szCs w:val="22"/>
              </w:rPr>
            </w:pPr>
            <w:r>
              <w:rPr>
                <w:rFonts w:asciiTheme="minorHAnsi" w:hAnsiTheme="minorHAnsi" w:cstheme="minorHAnsi"/>
                <w:b/>
                <w:sz w:val="22"/>
                <w:szCs w:val="22"/>
              </w:rPr>
              <w:t>UKE</w:t>
            </w:r>
          </w:p>
        </w:tc>
        <w:tc>
          <w:tcPr>
            <w:tcW w:w="1843" w:type="dxa"/>
            <w:shd w:val="clear" w:color="auto" w:fill="auto"/>
          </w:tcPr>
          <w:p w14:paraId="7E5417A8" w14:textId="251EE676" w:rsidR="000864B9" w:rsidRPr="00A06425" w:rsidRDefault="002C36A4" w:rsidP="00E260CB">
            <w:pPr>
              <w:rPr>
                <w:rFonts w:asciiTheme="minorHAnsi" w:hAnsiTheme="minorHAnsi" w:cstheme="minorHAnsi"/>
                <w:sz w:val="22"/>
                <w:szCs w:val="22"/>
              </w:rPr>
            </w:pPr>
            <w:r w:rsidRPr="002118F0">
              <w:rPr>
                <w:rFonts w:asciiTheme="minorHAnsi" w:hAnsiTheme="minorHAnsi" w:cstheme="minorHAnsi"/>
                <w:sz w:val="22"/>
                <w:szCs w:val="22"/>
              </w:rPr>
              <w:t>§ 2 pkt 5</w:t>
            </w:r>
          </w:p>
        </w:tc>
        <w:tc>
          <w:tcPr>
            <w:tcW w:w="5103" w:type="dxa"/>
            <w:shd w:val="clear" w:color="auto" w:fill="auto"/>
          </w:tcPr>
          <w:p w14:paraId="7B1C7DF7" w14:textId="3E0388E2" w:rsidR="000864B9" w:rsidRPr="00B72712" w:rsidRDefault="002118F0" w:rsidP="008D6E47">
            <w:pPr>
              <w:rPr>
                <w:rFonts w:asciiTheme="minorHAnsi" w:hAnsiTheme="minorHAnsi" w:cstheme="minorHAnsi"/>
                <w:sz w:val="22"/>
                <w:szCs w:val="22"/>
              </w:rPr>
            </w:pPr>
            <w:r w:rsidRPr="002118F0">
              <w:rPr>
                <w:rFonts w:asciiTheme="minorHAnsi" w:hAnsiTheme="minorHAnsi" w:cstheme="minorHAnsi"/>
                <w:sz w:val="22"/>
                <w:szCs w:val="22"/>
              </w:rPr>
              <w:t>§ 2 pkt 5 – w definicji pojęcia „infrastruktura szerokopasmowa” zawarte jest nieprawidłowe odesłanie do art. 2 pkt 8 Prawa telekomunikacyjnego, w którym jest mowa o infrastrukturze telekomunikacyjnej, nie zaś o sieci telekomunikacyjnej. Na marginesie należy zaznaczyć, że w projektowanym przepisie zawarta jest również nieaktualna metryka promulgacyjna ustawy z dnia 16 lipca 2004</w:t>
            </w:r>
            <w:r w:rsidR="008D6E47">
              <w:rPr>
                <w:rFonts w:asciiTheme="minorHAnsi" w:hAnsiTheme="minorHAnsi" w:cstheme="minorHAnsi"/>
                <w:sz w:val="22"/>
                <w:szCs w:val="22"/>
              </w:rPr>
              <w:t xml:space="preserve"> r. – Prawo telekomunikacyjne;</w:t>
            </w:r>
          </w:p>
        </w:tc>
        <w:tc>
          <w:tcPr>
            <w:tcW w:w="3260" w:type="dxa"/>
            <w:shd w:val="clear" w:color="auto" w:fill="auto"/>
          </w:tcPr>
          <w:p w14:paraId="0F196957" w14:textId="77777777" w:rsidR="000864B9" w:rsidRPr="00A06425" w:rsidRDefault="000864B9" w:rsidP="00E260CB">
            <w:pPr>
              <w:rPr>
                <w:rFonts w:asciiTheme="minorHAnsi" w:hAnsiTheme="minorHAnsi" w:cstheme="minorHAnsi"/>
                <w:sz w:val="22"/>
                <w:szCs w:val="22"/>
              </w:rPr>
            </w:pPr>
          </w:p>
        </w:tc>
        <w:tc>
          <w:tcPr>
            <w:tcW w:w="3260" w:type="dxa"/>
          </w:tcPr>
          <w:p w14:paraId="761B060E" w14:textId="77777777" w:rsidR="000864B9" w:rsidRDefault="00F24A72" w:rsidP="00E260CB">
            <w:pPr>
              <w:rPr>
                <w:rFonts w:asciiTheme="minorHAnsi" w:hAnsiTheme="minorHAnsi" w:cstheme="minorHAnsi"/>
                <w:sz w:val="22"/>
                <w:szCs w:val="22"/>
              </w:rPr>
            </w:pPr>
            <w:r>
              <w:rPr>
                <w:rFonts w:asciiTheme="minorHAnsi" w:hAnsiTheme="minorHAnsi" w:cstheme="minorHAnsi"/>
                <w:sz w:val="22"/>
                <w:szCs w:val="22"/>
              </w:rPr>
              <w:t>Uwaga uwzględniona</w:t>
            </w:r>
          </w:p>
          <w:p w14:paraId="05C43B01" w14:textId="77777777" w:rsidR="002F0F2A" w:rsidRDefault="002F0F2A" w:rsidP="00E260CB">
            <w:pPr>
              <w:rPr>
                <w:rFonts w:asciiTheme="minorHAnsi" w:hAnsiTheme="minorHAnsi" w:cstheme="minorHAnsi"/>
                <w:sz w:val="22"/>
                <w:szCs w:val="22"/>
              </w:rPr>
            </w:pPr>
          </w:p>
          <w:p w14:paraId="5CEAE4C7" w14:textId="541848D7" w:rsidR="002F0F2A" w:rsidRPr="00A06425" w:rsidRDefault="002F0F2A" w:rsidP="00E260CB">
            <w:pPr>
              <w:rPr>
                <w:rFonts w:asciiTheme="minorHAnsi" w:hAnsiTheme="minorHAnsi" w:cstheme="minorHAnsi"/>
                <w:sz w:val="22"/>
                <w:szCs w:val="22"/>
              </w:rPr>
            </w:pPr>
            <w:r>
              <w:rPr>
                <w:rFonts w:asciiTheme="minorHAnsi" w:hAnsiTheme="minorHAnsi" w:cstheme="minorHAnsi"/>
                <w:sz w:val="22"/>
                <w:szCs w:val="22"/>
              </w:rPr>
              <w:t>Przepis został przeformułowany.</w:t>
            </w:r>
          </w:p>
        </w:tc>
      </w:tr>
      <w:tr w:rsidR="009B3C5D" w:rsidRPr="00A06425" w14:paraId="770C99D5" w14:textId="77777777" w:rsidTr="00965831">
        <w:tc>
          <w:tcPr>
            <w:tcW w:w="562" w:type="dxa"/>
            <w:shd w:val="clear" w:color="auto" w:fill="auto"/>
          </w:tcPr>
          <w:p w14:paraId="212E4C8F" w14:textId="77777777" w:rsidR="009B3C5D" w:rsidRPr="00965831" w:rsidRDefault="009B3C5D"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083BC96B" w14:textId="505EC1BF" w:rsidR="009B3C5D" w:rsidRPr="00A06425" w:rsidRDefault="009B3C5D" w:rsidP="009B3C5D">
            <w:pPr>
              <w:spacing w:before="60" w:after="60"/>
              <w:rPr>
                <w:rFonts w:asciiTheme="minorHAnsi" w:hAnsiTheme="minorHAnsi" w:cstheme="minorHAnsi"/>
                <w:b/>
                <w:sz w:val="22"/>
                <w:szCs w:val="22"/>
              </w:rPr>
            </w:pPr>
            <w:r w:rsidRPr="00685925">
              <w:rPr>
                <w:rFonts w:asciiTheme="minorHAnsi" w:hAnsiTheme="minorHAnsi" w:cstheme="minorHAnsi"/>
                <w:b/>
                <w:sz w:val="22"/>
                <w:szCs w:val="22"/>
              </w:rPr>
              <w:t>UKE</w:t>
            </w:r>
          </w:p>
        </w:tc>
        <w:tc>
          <w:tcPr>
            <w:tcW w:w="1843" w:type="dxa"/>
            <w:shd w:val="clear" w:color="auto" w:fill="auto"/>
          </w:tcPr>
          <w:p w14:paraId="78AABB93" w14:textId="293566EC" w:rsidR="009B3C5D" w:rsidRPr="00A06425" w:rsidRDefault="002C36A4" w:rsidP="009B3C5D">
            <w:pPr>
              <w:rPr>
                <w:rFonts w:asciiTheme="minorHAnsi" w:hAnsiTheme="minorHAnsi" w:cstheme="minorHAnsi"/>
                <w:sz w:val="22"/>
                <w:szCs w:val="22"/>
              </w:rPr>
            </w:pPr>
            <w:r w:rsidRPr="002C36A4">
              <w:rPr>
                <w:rFonts w:asciiTheme="minorHAnsi" w:hAnsiTheme="minorHAnsi" w:cstheme="minorHAnsi"/>
                <w:sz w:val="22"/>
                <w:szCs w:val="22"/>
              </w:rPr>
              <w:t>§ 4 ust. 2</w:t>
            </w:r>
          </w:p>
        </w:tc>
        <w:tc>
          <w:tcPr>
            <w:tcW w:w="5103" w:type="dxa"/>
            <w:shd w:val="clear" w:color="auto" w:fill="auto"/>
          </w:tcPr>
          <w:p w14:paraId="48EAEEF6" w14:textId="75491739" w:rsidR="009B3C5D" w:rsidRPr="00B72712" w:rsidRDefault="009B3C5D" w:rsidP="009B3C5D">
            <w:pPr>
              <w:rPr>
                <w:rFonts w:asciiTheme="minorHAnsi" w:hAnsiTheme="minorHAnsi" w:cstheme="minorHAnsi"/>
                <w:sz w:val="22"/>
                <w:szCs w:val="22"/>
              </w:rPr>
            </w:pPr>
            <w:r w:rsidRPr="008D6E47">
              <w:rPr>
                <w:rFonts w:asciiTheme="minorHAnsi" w:hAnsiTheme="minorHAnsi" w:cstheme="minorHAnsi"/>
                <w:sz w:val="22"/>
                <w:szCs w:val="22"/>
              </w:rPr>
              <w:t>§ 4 ust. 2 – proponuje się wskazać od którego momentu rozpoczyna bieg okres trzech lat, o którym mowa w projektowanym przepisie;</w:t>
            </w:r>
          </w:p>
        </w:tc>
        <w:tc>
          <w:tcPr>
            <w:tcW w:w="3260" w:type="dxa"/>
            <w:shd w:val="clear" w:color="auto" w:fill="auto"/>
          </w:tcPr>
          <w:p w14:paraId="77DE373E" w14:textId="77777777" w:rsidR="009B3C5D" w:rsidRPr="00A06425" w:rsidRDefault="009B3C5D" w:rsidP="009B3C5D">
            <w:pPr>
              <w:rPr>
                <w:rFonts w:asciiTheme="minorHAnsi" w:hAnsiTheme="minorHAnsi" w:cstheme="minorHAnsi"/>
                <w:sz w:val="22"/>
                <w:szCs w:val="22"/>
              </w:rPr>
            </w:pPr>
          </w:p>
        </w:tc>
        <w:tc>
          <w:tcPr>
            <w:tcW w:w="3260" w:type="dxa"/>
          </w:tcPr>
          <w:p w14:paraId="56034762" w14:textId="77777777" w:rsidR="009B3C5D" w:rsidRDefault="002C36A4" w:rsidP="009B3C5D">
            <w:pPr>
              <w:rPr>
                <w:rFonts w:asciiTheme="minorHAnsi" w:hAnsiTheme="minorHAnsi" w:cstheme="minorHAnsi"/>
                <w:sz w:val="22"/>
                <w:szCs w:val="22"/>
              </w:rPr>
            </w:pPr>
            <w:r>
              <w:rPr>
                <w:rFonts w:asciiTheme="minorHAnsi" w:hAnsiTheme="minorHAnsi" w:cstheme="minorHAnsi"/>
                <w:sz w:val="22"/>
                <w:szCs w:val="22"/>
              </w:rPr>
              <w:t xml:space="preserve">Uwaga </w:t>
            </w:r>
            <w:r w:rsidR="00D43B75">
              <w:rPr>
                <w:rFonts w:asciiTheme="minorHAnsi" w:hAnsiTheme="minorHAnsi" w:cstheme="minorHAnsi"/>
                <w:sz w:val="22"/>
                <w:szCs w:val="22"/>
              </w:rPr>
              <w:t>nie</w:t>
            </w:r>
            <w:r>
              <w:rPr>
                <w:rFonts w:asciiTheme="minorHAnsi" w:hAnsiTheme="minorHAnsi" w:cstheme="minorHAnsi"/>
                <w:sz w:val="22"/>
                <w:szCs w:val="22"/>
              </w:rPr>
              <w:t>uwzględniona</w:t>
            </w:r>
          </w:p>
          <w:p w14:paraId="56D662C0" w14:textId="77777777" w:rsidR="00D43B75" w:rsidRDefault="00D43B75" w:rsidP="009B3C5D">
            <w:pPr>
              <w:rPr>
                <w:rFonts w:asciiTheme="minorHAnsi" w:hAnsiTheme="minorHAnsi" w:cstheme="minorHAnsi"/>
                <w:sz w:val="22"/>
                <w:szCs w:val="22"/>
              </w:rPr>
            </w:pPr>
          </w:p>
          <w:p w14:paraId="22FA4A99" w14:textId="79974C05" w:rsidR="00D43B75" w:rsidRPr="00A06425" w:rsidRDefault="00D43B75" w:rsidP="009B3C5D">
            <w:pPr>
              <w:rPr>
                <w:rFonts w:asciiTheme="minorHAnsi" w:hAnsiTheme="minorHAnsi" w:cstheme="minorHAnsi"/>
                <w:sz w:val="22"/>
                <w:szCs w:val="22"/>
              </w:rPr>
            </w:pPr>
            <w:r>
              <w:rPr>
                <w:rFonts w:asciiTheme="minorHAnsi" w:hAnsiTheme="minorHAnsi" w:cstheme="minorHAnsi"/>
                <w:sz w:val="22"/>
                <w:szCs w:val="22"/>
              </w:rPr>
              <w:t>Patrz odniesienie do uwagi nr 16.</w:t>
            </w:r>
          </w:p>
        </w:tc>
      </w:tr>
      <w:tr w:rsidR="009B3C5D" w:rsidRPr="00A06425" w14:paraId="056CADEE" w14:textId="77777777" w:rsidTr="00965831">
        <w:tc>
          <w:tcPr>
            <w:tcW w:w="562" w:type="dxa"/>
            <w:shd w:val="clear" w:color="auto" w:fill="auto"/>
          </w:tcPr>
          <w:p w14:paraId="1C526D13" w14:textId="77777777" w:rsidR="009B3C5D" w:rsidRPr="00965831" w:rsidRDefault="009B3C5D"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212F3BB5" w14:textId="5E3B93C0" w:rsidR="009B3C5D" w:rsidRPr="00A06425" w:rsidRDefault="009B3C5D" w:rsidP="009B3C5D">
            <w:pPr>
              <w:spacing w:before="60" w:after="60"/>
              <w:rPr>
                <w:rFonts w:asciiTheme="minorHAnsi" w:hAnsiTheme="minorHAnsi" w:cstheme="minorHAnsi"/>
                <w:b/>
                <w:sz w:val="22"/>
                <w:szCs w:val="22"/>
              </w:rPr>
            </w:pPr>
            <w:r w:rsidRPr="00685925">
              <w:rPr>
                <w:rFonts w:asciiTheme="minorHAnsi" w:hAnsiTheme="minorHAnsi" w:cstheme="minorHAnsi"/>
                <w:b/>
                <w:sz w:val="22"/>
                <w:szCs w:val="22"/>
              </w:rPr>
              <w:t>UKE</w:t>
            </w:r>
          </w:p>
        </w:tc>
        <w:tc>
          <w:tcPr>
            <w:tcW w:w="1843" w:type="dxa"/>
            <w:shd w:val="clear" w:color="auto" w:fill="auto"/>
          </w:tcPr>
          <w:p w14:paraId="2C12655F" w14:textId="5DBA826A" w:rsidR="009B3C5D" w:rsidRPr="00A06425" w:rsidRDefault="002C36A4" w:rsidP="009B3C5D">
            <w:pPr>
              <w:rPr>
                <w:rFonts w:asciiTheme="minorHAnsi" w:hAnsiTheme="minorHAnsi" w:cstheme="minorHAnsi"/>
                <w:sz w:val="22"/>
                <w:szCs w:val="22"/>
              </w:rPr>
            </w:pPr>
            <w:r w:rsidRPr="008D6E47">
              <w:rPr>
                <w:rFonts w:asciiTheme="minorHAnsi" w:hAnsiTheme="minorHAnsi" w:cstheme="minorHAnsi"/>
                <w:sz w:val="22"/>
                <w:szCs w:val="22"/>
              </w:rPr>
              <w:t>§ 5 ust. 2 pkt 7</w:t>
            </w:r>
          </w:p>
        </w:tc>
        <w:tc>
          <w:tcPr>
            <w:tcW w:w="5103" w:type="dxa"/>
            <w:shd w:val="clear" w:color="auto" w:fill="auto"/>
          </w:tcPr>
          <w:p w14:paraId="58C7C673" w14:textId="17CACC8C" w:rsidR="009B3C5D" w:rsidRPr="00B72712" w:rsidRDefault="009B3C5D" w:rsidP="009B3C5D">
            <w:pPr>
              <w:rPr>
                <w:rFonts w:asciiTheme="minorHAnsi" w:hAnsiTheme="minorHAnsi" w:cstheme="minorHAnsi"/>
                <w:sz w:val="22"/>
                <w:szCs w:val="22"/>
              </w:rPr>
            </w:pPr>
            <w:r w:rsidRPr="008D6E47">
              <w:rPr>
                <w:rFonts w:asciiTheme="minorHAnsi" w:hAnsiTheme="minorHAnsi" w:cstheme="minorHAnsi"/>
                <w:sz w:val="22"/>
                <w:szCs w:val="22"/>
              </w:rPr>
              <w:t>§ 5 ust. 2 pkt 7 – w ramach projektowanego przepisu wyrazy „dokonania rezerwacji częstotliwości radiowych” proponuje się zastąpić wyrazami „udzielonych rezerwacji częstotliwości lub zasobów orbitalnych”;</w:t>
            </w:r>
          </w:p>
        </w:tc>
        <w:tc>
          <w:tcPr>
            <w:tcW w:w="3260" w:type="dxa"/>
            <w:shd w:val="clear" w:color="auto" w:fill="auto"/>
          </w:tcPr>
          <w:p w14:paraId="03151AEC" w14:textId="77777777" w:rsidR="009B3C5D" w:rsidRPr="00A06425" w:rsidRDefault="009B3C5D" w:rsidP="009B3C5D">
            <w:pPr>
              <w:rPr>
                <w:rFonts w:asciiTheme="minorHAnsi" w:hAnsiTheme="minorHAnsi" w:cstheme="minorHAnsi"/>
                <w:sz w:val="22"/>
                <w:szCs w:val="22"/>
              </w:rPr>
            </w:pPr>
          </w:p>
        </w:tc>
        <w:tc>
          <w:tcPr>
            <w:tcW w:w="3260" w:type="dxa"/>
          </w:tcPr>
          <w:p w14:paraId="3BD6473A" w14:textId="77777777" w:rsidR="009B3C5D" w:rsidRDefault="00F24A72" w:rsidP="009B3C5D">
            <w:pPr>
              <w:rPr>
                <w:rFonts w:asciiTheme="minorHAnsi" w:hAnsiTheme="minorHAnsi" w:cstheme="minorHAnsi"/>
                <w:sz w:val="22"/>
                <w:szCs w:val="22"/>
              </w:rPr>
            </w:pPr>
            <w:r>
              <w:rPr>
                <w:rFonts w:asciiTheme="minorHAnsi" w:hAnsiTheme="minorHAnsi" w:cstheme="minorHAnsi"/>
                <w:sz w:val="22"/>
                <w:szCs w:val="22"/>
              </w:rPr>
              <w:t>Uwaga uwzględniona</w:t>
            </w:r>
          </w:p>
          <w:p w14:paraId="2677480D" w14:textId="77777777" w:rsidR="002F0F2A" w:rsidRDefault="002F0F2A" w:rsidP="009B3C5D">
            <w:pPr>
              <w:rPr>
                <w:rFonts w:asciiTheme="minorHAnsi" w:hAnsiTheme="minorHAnsi" w:cstheme="minorHAnsi"/>
                <w:sz w:val="22"/>
                <w:szCs w:val="22"/>
              </w:rPr>
            </w:pPr>
          </w:p>
          <w:p w14:paraId="5BB68DD9" w14:textId="4913D53E" w:rsidR="002F0F2A" w:rsidRPr="00A06425" w:rsidRDefault="002F0F2A" w:rsidP="009B3C5D">
            <w:pPr>
              <w:rPr>
                <w:rFonts w:asciiTheme="minorHAnsi" w:hAnsiTheme="minorHAnsi" w:cstheme="minorHAnsi"/>
                <w:sz w:val="22"/>
                <w:szCs w:val="22"/>
              </w:rPr>
            </w:pPr>
            <w:r>
              <w:rPr>
                <w:rFonts w:asciiTheme="minorHAnsi" w:hAnsiTheme="minorHAnsi" w:cstheme="minorHAnsi"/>
                <w:sz w:val="22"/>
                <w:szCs w:val="22"/>
              </w:rPr>
              <w:t>Przepis został przeformułowany.</w:t>
            </w:r>
          </w:p>
        </w:tc>
      </w:tr>
      <w:tr w:rsidR="009B3C5D" w:rsidRPr="00A06425" w14:paraId="4605BB19" w14:textId="77777777" w:rsidTr="00965831">
        <w:tc>
          <w:tcPr>
            <w:tcW w:w="562" w:type="dxa"/>
            <w:shd w:val="clear" w:color="auto" w:fill="auto"/>
          </w:tcPr>
          <w:p w14:paraId="4DFF29FC" w14:textId="77777777" w:rsidR="009B3C5D" w:rsidRPr="00965831" w:rsidRDefault="009B3C5D"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50FA9125" w14:textId="2EA02503" w:rsidR="009B3C5D" w:rsidRPr="006B693E" w:rsidRDefault="009B3C5D" w:rsidP="009B3C5D">
            <w:pPr>
              <w:spacing w:before="60" w:after="60"/>
              <w:rPr>
                <w:rFonts w:asciiTheme="minorHAnsi" w:hAnsiTheme="minorHAnsi" w:cstheme="minorHAnsi"/>
                <w:b/>
                <w:sz w:val="22"/>
                <w:szCs w:val="22"/>
              </w:rPr>
            </w:pPr>
            <w:r w:rsidRPr="006B693E">
              <w:rPr>
                <w:rFonts w:asciiTheme="minorHAnsi" w:hAnsiTheme="minorHAnsi" w:cstheme="minorHAnsi"/>
                <w:b/>
                <w:sz w:val="22"/>
                <w:szCs w:val="22"/>
              </w:rPr>
              <w:t>UKE</w:t>
            </w:r>
          </w:p>
        </w:tc>
        <w:tc>
          <w:tcPr>
            <w:tcW w:w="1843" w:type="dxa"/>
            <w:shd w:val="clear" w:color="auto" w:fill="auto"/>
          </w:tcPr>
          <w:p w14:paraId="379F2829" w14:textId="577D074E" w:rsidR="009B3C5D" w:rsidRPr="006B693E" w:rsidRDefault="002C36A4" w:rsidP="009B3C5D">
            <w:pPr>
              <w:rPr>
                <w:rFonts w:asciiTheme="minorHAnsi" w:hAnsiTheme="minorHAnsi" w:cstheme="minorHAnsi"/>
                <w:sz w:val="22"/>
                <w:szCs w:val="22"/>
              </w:rPr>
            </w:pPr>
            <w:r w:rsidRPr="006B693E">
              <w:rPr>
                <w:rFonts w:asciiTheme="minorHAnsi" w:hAnsiTheme="minorHAnsi" w:cstheme="minorHAnsi"/>
                <w:sz w:val="22"/>
                <w:szCs w:val="22"/>
              </w:rPr>
              <w:t>§ 7 ust. 5</w:t>
            </w:r>
          </w:p>
        </w:tc>
        <w:tc>
          <w:tcPr>
            <w:tcW w:w="5103" w:type="dxa"/>
            <w:shd w:val="clear" w:color="auto" w:fill="auto"/>
          </w:tcPr>
          <w:p w14:paraId="6FD48010" w14:textId="46366865" w:rsidR="009B3C5D" w:rsidRPr="006B693E" w:rsidRDefault="009B3C5D" w:rsidP="009B3C5D">
            <w:pPr>
              <w:rPr>
                <w:rFonts w:asciiTheme="minorHAnsi" w:hAnsiTheme="minorHAnsi" w:cstheme="minorHAnsi"/>
                <w:sz w:val="22"/>
                <w:szCs w:val="22"/>
              </w:rPr>
            </w:pPr>
            <w:r w:rsidRPr="006B693E">
              <w:rPr>
                <w:rFonts w:asciiTheme="minorHAnsi" w:hAnsiTheme="minorHAnsi" w:cstheme="minorHAnsi"/>
                <w:sz w:val="22"/>
                <w:szCs w:val="22"/>
              </w:rPr>
              <w:t>§ 7 ust. 5 – w odniesieniu do zapisu „pod warunkiem zapewnienia zasobów umożliwiających umieszczenie sieci telekomunikacyjnych przez innych operatorów telekomunikacyjnych” proponuje się rozważyć zasadność wskazania miejsca, w którym powinna zostać umieszczona sieć telekomunikacyjna, o której mowa w tym zapisie.</w:t>
            </w:r>
          </w:p>
        </w:tc>
        <w:tc>
          <w:tcPr>
            <w:tcW w:w="3260" w:type="dxa"/>
            <w:shd w:val="clear" w:color="auto" w:fill="auto"/>
          </w:tcPr>
          <w:p w14:paraId="4641D77B" w14:textId="77777777" w:rsidR="009B3C5D" w:rsidRPr="006B693E" w:rsidRDefault="009B3C5D" w:rsidP="009B3C5D">
            <w:pPr>
              <w:rPr>
                <w:rFonts w:asciiTheme="minorHAnsi" w:hAnsiTheme="minorHAnsi" w:cstheme="minorHAnsi"/>
                <w:sz w:val="22"/>
                <w:szCs w:val="22"/>
              </w:rPr>
            </w:pPr>
          </w:p>
        </w:tc>
        <w:tc>
          <w:tcPr>
            <w:tcW w:w="3260" w:type="dxa"/>
          </w:tcPr>
          <w:p w14:paraId="2A84FBA4" w14:textId="77777777" w:rsidR="009B3C5D" w:rsidRDefault="006B693E" w:rsidP="002F0F2A">
            <w:pPr>
              <w:rPr>
                <w:rFonts w:asciiTheme="minorHAnsi" w:hAnsiTheme="minorHAnsi" w:cstheme="minorHAnsi"/>
                <w:sz w:val="22"/>
                <w:szCs w:val="22"/>
              </w:rPr>
            </w:pPr>
            <w:r w:rsidRPr="006B693E">
              <w:rPr>
                <w:rFonts w:asciiTheme="minorHAnsi" w:hAnsiTheme="minorHAnsi" w:cstheme="minorHAnsi"/>
                <w:sz w:val="22"/>
                <w:szCs w:val="22"/>
              </w:rPr>
              <w:t xml:space="preserve">Uwaga </w:t>
            </w:r>
            <w:r w:rsidR="002F0F2A">
              <w:rPr>
                <w:rFonts w:asciiTheme="minorHAnsi" w:hAnsiTheme="minorHAnsi" w:cstheme="minorHAnsi"/>
                <w:sz w:val="22"/>
                <w:szCs w:val="22"/>
              </w:rPr>
              <w:t>nieaktualna</w:t>
            </w:r>
          </w:p>
          <w:p w14:paraId="58654005" w14:textId="77777777" w:rsidR="002F0F2A" w:rsidRDefault="002F0F2A" w:rsidP="002F0F2A">
            <w:pPr>
              <w:rPr>
                <w:rFonts w:asciiTheme="minorHAnsi" w:hAnsiTheme="minorHAnsi" w:cstheme="minorHAnsi"/>
                <w:sz w:val="22"/>
                <w:szCs w:val="22"/>
              </w:rPr>
            </w:pPr>
          </w:p>
          <w:p w14:paraId="66F45249" w14:textId="3F55DF6D" w:rsidR="002F0F2A" w:rsidRPr="006B693E" w:rsidRDefault="002F0F2A" w:rsidP="002F0F2A">
            <w:pPr>
              <w:rPr>
                <w:rFonts w:asciiTheme="minorHAnsi" w:hAnsiTheme="minorHAnsi" w:cstheme="minorHAnsi"/>
                <w:sz w:val="22"/>
                <w:szCs w:val="22"/>
              </w:rPr>
            </w:pPr>
            <w:r>
              <w:rPr>
                <w:rFonts w:asciiTheme="minorHAnsi" w:hAnsiTheme="minorHAnsi" w:cstheme="minorHAnsi"/>
                <w:sz w:val="22"/>
                <w:szCs w:val="22"/>
              </w:rPr>
              <w:t>Z projektu skreślono przepisy dotyczące wydatków kwalifikowalnych.</w:t>
            </w:r>
          </w:p>
        </w:tc>
      </w:tr>
      <w:tr w:rsidR="000864B9" w:rsidRPr="00A06425" w14:paraId="645763A9" w14:textId="77777777" w:rsidTr="00965831">
        <w:tc>
          <w:tcPr>
            <w:tcW w:w="562" w:type="dxa"/>
            <w:shd w:val="clear" w:color="auto" w:fill="auto"/>
          </w:tcPr>
          <w:p w14:paraId="51D5F632" w14:textId="4AB68DA8" w:rsidR="000864B9" w:rsidRPr="00965831" w:rsidRDefault="000864B9"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1852C7D7" w14:textId="4158BA7A" w:rsidR="000864B9" w:rsidRPr="00A06425" w:rsidRDefault="009B3C5D" w:rsidP="00E260CB">
            <w:pPr>
              <w:spacing w:before="60" w:after="60"/>
              <w:rPr>
                <w:rFonts w:asciiTheme="minorHAnsi" w:hAnsiTheme="minorHAnsi" w:cstheme="minorHAnsi"/>
                <w:b/>
                <w:sz w:val="22"/>
                <w:szCs w:val="22"/>
              </w:rPr>
            </w:pPr>
            <w:r w:rsidRPr="00CB7F49">
              <w:rPr>
                <w:rFonts w:asciiTheme="minorHAnsi" w:hAnsiTheme="minorHAnsi" w:cstheme="minorHAnsi"/>
                <w:b/>
                <w:sz w:val="22"/>
                <w:szCs w:val="22"/>
              </w:rPr>
              <w:t>MFiPR</w:t>
            </w:r>
          </w:p>
        </w:tc>
        <w:tc>
          <w:tcPr>
            <w:tcW w:w="1843" w:type="dxa"/>
            <w:shd w:val="clear" w:color="auto" w:fill="auto"/>
          </w:tcPr>
          <w:p w14:paraId="3AC93742" w14:textId="19C04E7D" w:rsidR="000864B9" w:rsidRPr="002C36A4" w:rsidRDefault="009B3C5D" w:rsidP="00E260CB">
            <w:pPr>
              <w:rPr>
                <w:rFonts w:asciiTheme="minorHAnsi" w:hAnsiTheme="minorHAnsi" w:cstheme="minorHAnsi"/>
                <w:sz w:val="22"/>
                <w:szCs w:val="22"/>
              </w:rPr>
            </w:pPr>
            <w:bookmarkStart w:id="1" w:name="_Hlk106955767"/>
            <w:r w:rsidRPr="002C36A4">
              <w:rPr>
                <w:rFonts w:asciiTheme="minorHAnsi" w:hAnsiTheme="minorHAnsi" w:cstheme="minorHAnsi"/>
                <w:sz w:val="22"/>
                <w:szCs w:val="22"/>
              </w:rPr>
              <w:t>§ 2</w:t>
            </w:r>
            <w:bookmarkEnd w:id="1"/>
          </w:p>
        </w:tc>
        <w:tc>
          <w:tcPr>
            <w:tcW w:w="5103" w:type="dxa"/>
            <w:shd w:val="clear" w:color="auto" w:fill="auto"/>
          </w:tcPr>
          <w:p w14:paraId="5459A2A3" w14:textId="582450E7" w:rsidR="000864B9" w:rsidRPr="00B72712" w:rsidRDefault="009B3C5D" w:rsidP="00E260CB">
            <w:pPr>
              <w:rPr>
                <w:rFonts w:asciiTheme="minorHAnsi" w:hAnsiTheme="minorHAnsi" w:cstheme="minorHAnsi"/>
                <w:sz w:val="22"/>
                <w:szCs w:val="22"/>
              </w:rPr>
            </w:pPr>
            <w:r w:rsidRPr="009B3C5D">
              <w:rPr>
                <w:rFonts w:asciiTheme="minorHAnsi" w:hAnsiTheme="minorHAnsi" w:cstheme="minorHAnsi"/>
                <w:sz w:val="22"/>
                <w:szCs w:val="22"/>
              </w:rPr>
              <w:t>5</w:t>
            </w:r>
            <w:r>
              <w:rPr>
                <w:rFonts w:asciiTheme="minorHAnsi" w:hAnsiTheme="minorHAnsi" w:cstheme="minorHAnsi"/>
                <w:sz w:val="22"/>
                <w:szCs w:val="22"/>
              </w:rPr>
              <w:t xml:space="preserve">) </w:t>
            </w:r>
            <w:r w:rsidRPr="009B3C5D">
              <w:rPr>
                <w:rFonts w:asciiTheme="minorHAnsi" w:hAnsiTheme="minorHAnsi" w:cstheme="minorHAnsi"/>
                <w:sz w:val="22"/>
                <w:szCs w:val="22"/>
              </w:rPr>
              <w:t>infrastrukturze szerokopasmowej – należy przez to rozumieć sieć szerokopasmową, o której mowa w art. 2 ust. 1 pkt 1 ustawy z dnia 7 maja 2010 r. o wspieraniu rozwoju usług i sieci telekomunikacyjnych (Dz. U. z 2022 r. poz. 884) lub sieć telekomunikacyjną, o której mowa w art. 2 pkt 8 ustawy z dnia 16 lipca 2004 r. – Prawo telekomunikacyjne (Dz. U. z 2021 r. poz. 576 oraz z 2022 r. poz. 501);</w:t>
            </w:r>
          </w:p>
        </w:tc>
        <w:tc>
          <w:tcPr>
            <w:tcW w:w="3260" w:type="dxa"/>
            <w:shd w:val="clear" w:color="auto" w:fill="auto"/>
          </w:tcPr>
          <w:p w14:paraId="2907A606" w14:textId="5BDF5880" w:rsidR="009B3C5D" w:rsidRPr="009B3C5D" w:rsidRDefault="009B3C5D" w:rsidP="009B3C5D">
            <w:pPr>
              <w:rPr>
                <w:rFonts w:asciiTheme="minorHAnsi" w:hAnsiTheme="minorHAnsi" w:cstheme="minorHAnsi"/>
                <w:sz w:val="22"/>
                <w:szCs w:val="22"/>
              </w:rPr>
            </w:pPr>
            <w:r w:rsidRPr="009B3C5D">
              <w:rPr>
                <w:rFonts w:asciiTheme="minorHAnsi" w:hAnsiTheme="minorHAnsi" w:cstheme="minorHAnsi"/>
                <w:sz w:val="22"/>
                <w:szCs w:val="22"/>
              </w:rPr>
              <w:t xml:space="preserve">w tekście jednolitym ustawy </w:t>
            </w:r>
            <w:r w:rsidR="00CA5194">
              <w:rPr>
                <w:rFonts w:asciiTheme="minorHAnsi" w:hAnsiTheme="minorHAnsi" w:cstheme="minorHAnsi"/>
                <w:sz w:val="22"/>
                <w:szCs w:val="22"/>
              </w:rPr>
              <w:t>-</w:t>
            </w:r>
            <w:r w:rsidRPr="009B3C5D">
              <w:rPr>
                <w:rFonts w:asciiTheme="minorHAnsi" w:hAnsiTheme="minorHAnsi" w:cstheme="minorHAnsi"/>
                <w:sz w:val="22"/>
                <w:szCs w:val="22"/>
              </w:rPr>
              <w:t>Prawo telekomunikacyjne z dnia 23.06.2022 r. (</w:t>
            </w:r>
            <w:r w:rsidRPr="009B3C5D">
              <w:rPr>
                <w:rFonts w:asciiTheme="minorHAnsi" w:hAnsiTheme="minorHAnsi" w:cstheme="minorHAnsi"/>
                <w:b/>
                <w:bCs/>
                <w:sz w:val="22"/>
                <w:szCs w:val="22"/>
              </w:rPr>
              <w:t xml:space="preserve">(Dz.U. z 2022 r. poz. 1648) </w:t>
            </w:r>
            <w:r w:rsidRPr="009B3C5D">
              <w:rPr>
                <w:rFonts w:asciiTheme="minorHAnsi" w:hAnsiTheme="minorHAnsi" w:cstheme="minorHAnsi"/>
                <w:sz w:val="22"/>
                <w:szCs w:val="22"/>
              </w:rPr>
              <w:t xml:space="preserve"> w art. 2 pkt 8 mowa jest o infrastrukturze telekomunikacyjnej</w:t>
            </w:r>
          </w:p>
          <w:p w14:paraId="0DC121E2" w14:textId="77777777" w:rsidR="000864B9" w:rsidRPr="00A06425" w:rsidRDefault="000864B9" w:rsidP="00E260CB">
            <w:pPr>
              <w:rPr>
                <w:rFonts w:asciiTheme="minorHAnsi" w:hAnsiTheme="minorHAnsi" w:cstheme="minorHAnsi"/>
                <w:sz w:val="22"/>
                <w:szCs w:val="22"/>
              </w:rPr>
            </w:pPr>
          </w:p>
        </w:tc>
        <w:tc>
          <w:tcPr>
            <w:tcW w:w="3260" w:type="dxa"/>
          </w:tcPr>
          <w:p w14:paraId="5C6929BE" w14:textId="77777777" w:rsidR="000864B9" w:rsidRDefault="002C36A4" w:rsidP="00E260CB">
            <w:pPr>
              <w:rPr>
                <w:rFonts w:asciiTheme="minorHAnsi" w:hAnsiTheme="minorHAnsi" w:cstheme="minorHAnsi"/>
                <w:sz w:val="22"/>
                <w:szCs w:val="22"/>
              </w:rPr>
            </w:pPr>
            <w:r>
              <w:rPr>
                <w:rFonts w:asciiTheme="minorHAnsi" w:hAnsiTheme="minorHAnsi" w:cstheme="minorHAnsi"/>
                <w:sz w:val="22"/>
                <w:szCs w:val="22"/>
              </w:rPr>
              <w:t>Uwaga uwzględniona</w:t>
            </w:r>
          </w:p>
          <w:p w14:paraId="4973535C" w14:textId="77777777" w:rsidR="002F0F2A" w:rsidRDefault="002F0F2A" w:rsidP="00E260CB">
            <w:pPr>
              <w:rPr>
                <w:rFonts w:asciiTheme="minorHAnsi" w:hAnsiTheme="minorHAnsi" w:cstheme="minorHAnsi"/>
                <w:sz w:val="22"/>
                <w:szCs w:val="22"/>
              </w:rPr>
            </w:pPr>
          </w:p>
          <w:p w14:paraId="453D8656" w14:textId="6851DB7E" w:rsidR="002F0F2A" w:rsidRPr="00A06425" w:rsidRDefault="002F0F2A" w:rsidP="00E260CB">
            <w:pPr>
              <w:rPr>
                <w:rFonts w:asciiTheme="minorHAnsi" w:hAnsiTheme="minorHAnsi" w:cstheme="minorHAnsi"/>
                <w:sz w:val="22"/>
                <w:szCs w:val="22"/>
              </w:rPr>
            </w:pPr>
            <w:r>
              <w:rPr>
                <w:rFonts w:asciiTheme="minorHAnsi" w:hAnsiTheme="minorHAnsi" w:cstheme="minorHAnsi"/>
                <w:sz w:val="22"/>
                <w:szCs w:val="22"/>
              </w:rPr>
              <w:t>Przepis został przeformułowany.</w:t>
            </w:r>
          </w:p>
        </w:tc>
      </w:tr>
      <w:tr w:rsidR="009B3C5D" w:rsidRPr="00A06425" w14:paraId="622BDB0E" w14:textId="77777777" w:rsidTr="00965831">
        <w:tc>
          <w:tcPr>
            <w:tcW w:w="562" w:type="dxa"/>
            <w:shd w:val="clear" w:color="auto" w:fill="auto"/>
          </w:tcPr>
          <w:p w14:paraId="6F9791BD" w14:textId="77777777" w:rsidR="009B3C5D" w:rsidRPr="00965831" w:rsidRDefault="009B3C5D"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24BEF6A6" w14:textId="12DEA888" w:rsidR="009B3C5D" w:rsidRPr="00A06425" w:rsidRDefault="009B3C5D" w:rsidP="002550A9">
            <w:pPr>
              <w:spacing w:before="60" w:after="60"/>
              <w:rPr>
                <w:rFonts w:asciiTheme="minorHAnsi" w:hAnsiTheme="minorHAnsi" w:cstheme="minorHAnsi"/>
                <w:b/>
                <w:sz w:val="22"/>
                <w:szCs w:val="22"/>
              </w:rPr>
            </w:pPr>
            <w:r w:rsidRPr="00C15CF3">
              <w:rPr>
                <w:rFonts w:asciiTheme="minorHAnsi" w:hAnsiTheme="minorHAnsi" w:cstheme="minorHAnsi"/>
                <w:b/>
                <w:sz w:val="22"/>
                <w:szCs w:val="22"/>
              </w:rPr>
              <w:t>M</w:t>
            </w:r>
            <w:r w:rsidR="002550A9">
              <w:rPr>
                <w:rFonts w:asciiTheme="minorHAnsi" w:hAnsiTheme="minorHAnsi" w:cstheme="minorHAnsi"/>
                <w:b/>
                <w:sz w:val="22"/>
                <w:szCs w:val="22"/>
              </w:rPr>
              <w:t>RiT</w:t>
            </w:r>
          </w:p>
        </w:tc>
        <w:tc>
          <w:tcPr>
            <w:tcW w:w="1843" w:type="dxa"/>
            <w:shd w:val="clear" w:color="auto" w:fill="auto"/>
          </w:tcPr>
          <w:p w14:paraId="4D0902DD" w14:textId="20C7CB51" w:rsidR="009B3C5D" w:rsidRPr="00A06425" w:rsidRDefault="009D2E22" w:rsidP="009B3C5D">
            <w:pPr>
              <w:rPr>
                <w:rFonts w:asciiTheme="minorHAnsi" w:hAnsiTheme="minorHAnsi" w:cstheme="minorHAnsi"/>
                <w:sz w:val="22"/>
                <w:szCs w:val="22"/>
              </w:rPr>
            </w:pPr>
            <w:r>
              <w:rPr>
                <w:rFonts w:asciiTheme="minorHAnsi" w:hAnsiTheme="minorHAnsi" w:cstheme="minorHAnsi"/>
                <w:sz w:val="22"/>
                <w:szCs w:val="22"/>
              </w:rPr>
              <w:t>§</w:t>
            </w:r>
            <w:r w:rsidR="00B970EF" w:rsidRPr="00B970EF">
              <w:rPr>
                <w:rFonts w:asciiTheme="minorHAnsi" w:hAnsiTheme="minorHAnsi" w:cstheme="minorHAnsi"/>
                <w:sz w:val="22"/>
                <w:szCs w:val="22"/>
              </w:rPr>
              <w:t xml:space="preserve"> 2 pkt. 11</w:t>
            </w:r>
          </w:p>
        </w:tc>
        <w:tc>
          <w:tcPr>
            <w:tcW w:w="5103" w:type="dxa"/>
            <w:shd w:val="clear" w:color="auto" w:fill="auto"/>
          </w:tcPr>
          <w:p w14:paraId="6DBFB9D7" w14:textId="535CC484" w:rsidR="009B3C5D" w:rsidRPr="00B72712" w:rsidRDefault="00B970EF" w:rsidP="009B3C5D">
            <w:pPr>
              <w:rPr>
                <w:rFonts w:asciiTheme="minorHAnsi" w:hAnsiTheme="minorHAnsi" w:cstheme="minorHAnsi"/>
                <w:sz w:val="22"/>
                <w:szCs w:val="22"/>
              </w:rPr>
            </w:pPr>
            <w:r w:rsidRPr="00B970EF">
              <w:rPr>
                <w:rFonts w:asciiTheme="minorHAnsi" w:hAnsiTheme="minorHAnsi" w:cstheme="minorHAnsi"/>
                <w:sz w:val="22"/>
                <w:szCs w:val="22"/>
              </w:rPr>
              <w:t>Powyższa zmiana ma na celu zapewnienie skutecznej realizacji celu wyznaczonego przez Komisję Europejską w Komunikacie COM(2021) 118 final "Cyfrowy kompas na 2030 r.: europejska droga w cyfrowej dekadzie", gdzie postawiono cel, aby w 2030 roku wszystkie europejskie gospodarstwa domowe zostały objęte siecią gigabitową. Postawienie jako kryterium finansowania minimalnej przepustowości 1 Gb/s pozwoli na zwiększenie pewności osiągnięcia przez Polskę wskazanego celu bez potrzeby ponownego przeznaczania na to środków finansowych, zwłaszcza że na rynku są szeroko dostępne technologie np. oparte na światłowodach, które pozwalają na jego osiągnięcie.</w:t>
            </w:r>
          </w:p>
        </w:tc>
        <w:tc>
          <w:tcPr>
            <w:tcW w:w="3260" w:type="dxa"/>
            <w:shd w:val="clear" w:color="auto" w:fill="auto"/>
          </w:tcPr>
          <w:p w14:paraId="23223C0B" w14:textId="350C51B2" w:rsidR="00B970EF" w:rsidRPr="00B970EF" w:rsidRDefault="00B970EF" w:rsidP="00B970EF">
            <w:pPr>
              <w:rPr>
                <w:rFonts w:asciiTheme="minorHAnsi" w:hAnsiTheme="minorHAnsi" w:cstheme="minorHAnsi"/>
                <w:sz w:val="22"/>
                <w:szCs w:val="22"/>
              </w:rPr>
            </w:pPr>
            <w:r w:rsidRPr="00B970EF">
              <w:rPr>
                <w:rFonts w:asciiTheme="minorHAnsi" w:hAnsiTheme="minorHAnsi" w:cstheme="minorHAnsi"/>
                <w:sz w:val="22"/>
                <w:szCs w:val="22"/>
              </w:rPr>
              <w:t>11) sieciach NGA – należy przez to rozumieć sieci szerokopasmowe, umożliwiające</w:t>
            </w:r>
          </w:p>
          <w:p w14:paraId="73664085" w14:textId="77777777" w:rsidR="00B970EF" w:rsidRPr="00B970EF" w:rsidRDefault="00B970EF" w:rsidP="00B970EF">
            <w:pPr>
              <w:rPr>
                <w:rFonts w:asciiTheme="minorHAnsi" w:hAnsiTheme="minorHAnsi" w:cstheme="minorHAnsi"/>
                <w:sz w:val="22"/>
                <w:szCs w:val="22"/>
              </w:rPr>
            </w:pPr>
            <w:r w:rsidRPr="00B970EF">
              <w:rPr>
                <w:rFonts w:asciiTheme="minorHAnsi" w:hAnsiTheme="minorHAnsi" w:cstheme="minorHAnsi"/>
                <w:sz w:val="22"/>
                <w:szCs w:val="22"/>
              </w:rPr>
              <w:t>świadczenie usług dostępu do internetu o gwarantowanej przepustowości co</w:t>
            </w:r>
          </w:p>
          <w:p w14:paraId="6F4959F9" w14:textId="15E2B37C" w:rsidR="009B3C5D" w:rsidRPr="00A06425" w:rsidRDefault="00B970EF" w:rsidP="00B970EF">
            <w:pPr>
              <w:rPr>
                <w:rFonts w:asciiTheme="minorHAnsi" w:hAnsiTheme="minorHAnsi" w:cstheme="minorHAnsi"/>
                <w:sz w:val="22"/>
                <w:szCs w:val="22"/>
              </w:rPr>
            </w:pPr>
            <w:r>
              <w:rPr>
                <w:rFonts w:asciiTheme="minorHAnsi" w:hAnsiTheme="minorHAnsi" w:cstheme="minorHAnsi"/>
                <w:sz w:val="22"/>
                <w:szCs w:val="22"/>
              </w:rPr>
              <w:t>najmniej 1 Gb/s</w:t>
            </w:r>
          </w:p>
        </w:tc>
        <w:tc>
          <w:tcPr>
            <w:tcW w:w="3260" w:type="dxa"/>
          </w:tcPr>
          <w:p w14:paraId="6A8DDC96" w14:textId="77777777" w:rsidR="009B3C5D" w:rsidRDefault="002C36A4" w:rsidP="009B3C5D">
            <w:pPr>
              <w:rPr>
                <w:rFonts w:asciiTheme="minorHAnsi" w:hAnsiTheme="minorHAnsi" w:cstheme="minorHAnsi"/>
                <w:sz w:val="22"/>
                <w:szCs w:val="22"/>
              </w:rPr>
            </w:pPr>
            <w:r>
              <w:rPr>
                <w:rFonts w:asciiTheme="minorHAnsi" w:hAnsiTheme="minorHAnsi" w:cstheme="minorHAnsi"/>
                <w:sz w:val="22"/>
                <w:szCs w:val="22"/>
              </w:rPr>
              <w:t>Uwaga nieuwzględniona</w:t>
            </w:r>
          </w:p>
          <w:p w14:paraId="275E6045" w14:textId="77777777" w:rsidR="002F0F2A" w:rsidRDefault="002F0F2A" w:rsidP="009B3C5D">
            <w:pPr>
              <w:rPr>
                <w:rFonts w:asciiTheme="minorHAnsi" w:hAnsiTheme="minorHAnsi" w:cstheme="minorHAnsi"/>
                <w:sz w:val="22"/>
                <w:szCs w:val="22"/>
              </w:rPr>
            </w:pPr>
          </w:p>
          <w:p w14:paraId="6C0DA2CF" w14:textId="2BCFB6DF" w:rsidR="006B693E" w:rsidRPr="00A06425" w:rsidRDefault="006B693E" w:rsidP="002F0F2A">
            <w:pPr>
              <w:rPr>
                <w:rFonts w:asciiTheme="minorHAnsi" w:hAnsiTheme="minorHAnsi" w:cstheme="minorHAnsi"/>
                <w:sz w:val="22"/>
                <w:szCs w:val="22"/>
              </w:rPr>
            </w:pPr>
            <w:r>
              <w:rPr>
                <w:rFonts w:asciiTheme="minorHAnsi" w:hAnsiTheme="minorHAnsi" w:cstheme="minorHAnsi"/>
                <w:sz w:val="22"/>
                <w:szCs w:val="22"/>
              </w:rPr>
              <w:t>Zgodnie z K</w:t>
            </w:r>
            <w:r w:rsidR="002F0F2A">
              <w:rPr>
                <w:rFonts w:asciiTheme="minorHAnsi" w:hAnsiTheme="minorHAnsi" w:cstheme="minorHAnsi"/>
                <w:sz w:val="22"/>
                <w:szCs w:val="22"/>
              </w:rPr>
              <w:t xml:space="preserve">rajowym </w:t>
            </w:r>
            <w:r>
              <w:rPr>
                <w:rFonts w:asciiTheme="minorHAnsi" w:hAnsiTheme="minorHAnsi" w:cstheme="minorHAnsi"/>
                <w:sz w:val="22"/>
                <w:szCs w:val="22"/>
              </w:rPr>
              <w:t>P</w:t>
            </w:r>
            <w:r w:rsidR="002F0F2A">
              <w:rPr>
                <w:rFonts w:asciiTheme="minorHAnsi" w:hAnsiTheme="minorHAnsi" w:cstheme="minorHAnsi"/>
                <w:sz w:val="22"/>
                <w:szCs w:val="22"/>
              </w:rPr>
              <w:t xml:space="preserve">lanem </w:t>
            </w:r>
            <w:r>
              <w:rPr>
                <w:rFonts w:asciiTheme="minorHAnsi" w:hAnsiTheme="minorHAnsi" w:cstheme="minorHAnsi"/>
                <w:sz w:val="22"/>
                <w:szCs w:val="22"/>
              </w:rPr>
              <w:t>O</w:t>
            </w:r>
            <w:r w:rsidR="002F0F2A">
              <w:rPr>
                <w:rFonts w:asciiTheme="minorHAnsi" w:hAnsiTheme="minorHAnsi" w:cstheme="minorHAnsi"/>
                <w:sz w:val="22"/>
                <w:szCs w:val="22"/>
              </w:rPr>
              <w:t>dbudowy (oraz zgodnie z Narodowym Planem Szerokopasmowym),</w:t>
            </w:r>
            <w:r>
              <w:rPr>
                <w:rFonts w:asciiTheme="minorHAnsi" w:hAnsiTheme="minorHAnsi" w:cstheme="minorHAnsi"/>
                <w:sz w:val="22"/>
                <w:szCs w:val="22"/>
              </w:rPr>
              <w:t xml:space="preserve"> celem </w:t>
            </w:r>
            <w:r w:rsidR="002F0F2A">
              <w:rPr>
                <w:rFonts w:asciiTheme="minorHAnsi" w:hAnsiTheme="minorHAnsi" w:cstheme="minorHAnsi"/>
                <w:sz w:val="22"/>
                <w:szCs w:val="22"/>
              </w:rPr>
              <w:t xml:space="preserve">inwestycji C1.1.1 </w:t>
            </w:r>
            <w:r>
              <w:rPr>
                <w:rFonts w:asciiTheme="minorHAnsi" w:hAnsiTheme="minorHAnsi" w:cstheme="minorHAnsi"/>
                <w:sz w:val="22"/>
                <w:szCs w:val="22"/>
              </w:rPr>
              <w:t xml:space="preserve">jest budowa sieci </w:t>
            </w:r>
            <w:r w:rsidR="002F0F2A">
              <w:rPr>
                <w:rFonts w:asciiTheme="minorHAnsi" w:hAnsiTheme="minorHAnsi" w:cstheme="minorHAnsi"/>
                <w:sz w:val="22"/>
                <w:szCs w:val="22"/>
              </w:rPr>
              <w:t xml:space="preserve">szerokopasmowych, </w:t>
            </w:r>
            <w:r>
              <w:rPr>
                <w:rFonts w:asciiTheme="minorHAnsi" w:hAnsiTheme="minorHAnsi" w:cstheme="minorHAnsi"/>
                <w:sz w:val="22"/>
                <w:szCs w:val="22"/>
              </w:rPr>
              <w:t xml:space="preserve">zapewniających </w:t>
            </w:r>
            <w:r w:rsidR="002F0F2A">
              <w:rPr>
                <w:rFonts w:asciiTheme="minorHAnsi" w:hAnsiTheme="minorHAnsi" w:cstheme="minorHAnsi"/>
                <w:sz w:val="22"/>
                <w:szCs w:val="22"/>
              </w:rPr>
              <w:t xml:space="preserve">usługi dostępu do </w:t>
            </w:r>
            <w:r w:rsidR="009D2E22">
              <w:rPr>
                <w:rFonts w:asciiTheme="minorHAnsi" w:hAnsiTheme="minorHAnsi" w:cstheme="minorHAnsi"/>
                <w:sz w:val="22"/>
                <w:szCs w:val="22"/>
              </w:rPr>
              <w:t>I</w:t>
            </w:r>
            <w:r w:rsidR="002F0F2A">
              <w:rPr>
                <w:rFonts w:asciiTheme="minorHAnsi" w:hAnsiTheme="minorHAnsi" w:cstheme="minorHAnsi"/>
                <w:sz w:val="22"/>
                <w:szCs w:val="22"/>
              </w:rPr>
              <w:t xml:space="preserve">nternetu o przepustowości co najmniej 100 Mb/s, ale jednocześnie </w:t>
            </w:r>
            <w:r>
              <w:rPr>
                <w:rFonts w:asciiTheme="minorHAnsi" w:hAnsiTheme="minorHAnsi" w:cstheme="minorHAnsi"/>
                <w:sz w:val="22"/>
                <w:szCs w:val="22"/>
              </w:rPr>
              <w:t>sieci te powinny mieć możliwość unowocześ</w:t>
            </w:r>
            <w:r w:rsidR="002F0F2A">
              <w:rPr>
                <w:rFonts w:asciiTheme="minorHAnsi" w:hAnsiTheme="minorHAnsi" w:cstheme="minorHAnsi"/>
                <w:sz w:val="22"/>
                <w:szCs w:val="22"/>
              </w:rPr>
              <w:t>nienia do przepustowości 1 Gb/s i większych.</w:t>
            </w:r>
          </w:p>
        </w:tc>
      </w:tr>
      <w:tr w:rsidR="009D2E22" w:rsidRPr="00A06425" w14:paraId="4362012D" w14:textId="77777777" w:rsidTr="00965831">
        <w:tc>
          <w:tcPr>
            <w:tcW w:w="562" w:type="dxa"/>
            <w:shd w:val="clear" w:color="auto" w:fill="auto"/>
          </w:tcPr>
          <w:p w14:paraId="11F6E38A" w14:textId="77777777" w:rsidR="009D2E22" w:rsidRPr="00965831" w:rsidRDefault="009D2E22"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4783EC17" w14:textId="1A9B522D" w:rsidR="009D2E22" w:rsidRPr="00C15CF3" w:rsidRDefault="009D2E22" w:rsidP="002550A9">
            <w:pPr>
              <w:spacing w:before="60" w:after="60"/>
              <w:rPr>
                <w:rFonts w:asciiTheme="minorHAnsi" w:hAnsiTheme="minorHAnsi" w:cstheme="minorHAnsi"/>
                <w:b/>
                <w:sz w:val="22"/>
                <w:szCs w:val="22"/>
              </w:rPr>
            </w:pPr>
            <w:r>
              <w:rPr>
                <w:rFonts w:asciiTheme="minorHAnsi" w:hAnsiTheme="minorHAnsi" w:cstheme="minorHAnsi"/>
                <w:b/>
                <w:sz w:val="22"/>
                <w:szCs w:val="22"/>
              </w:rPr>
              <w:t>UOKiK</w:t>
            </w:r>
          </w:p>
        </w:tc>
        <w:tc>
          <w:tcPr>
            <w:tcW w:w="1843" w:type="dxa"/>
            <w:shd w:val="clear" w:color="auto" w:fill="auto"/>
          </w:tcPr>
          <w:p w14:paraId="2B0508B8" w14:textId="0FE933DD" w:rsidR="009D2E22" w:rsidRPr="00B970EF" w:rsidRDefault="009D2E22" w:rsidP="009B3C5D">
            <w:pPr>
              <w:rPr>
                <w:rFonts w:asciiTheme="minorHAnsi" w:hAnsiTheme="minorHAnsi" w:cstheme="minorHAnsi"/>
                <w:sz w:val="22"/>
                <w:szCs w:val="22"/>
              </w:rPr>
            </w:pPr>
          </w:p>
        </w:tc>
        <w:tc>
          <w:tcPr>
            <w:tcW w:w="5103" w:type="dxa"/>
            <w:shd w:val="clear" w:color="auto" w:fill="auto"/>
          </w:tcPr>
          <w:p w14:paraId="7B2C56ED" w14:textId="586F17DF" w:rsidR="009D2E22" w:rsidRPr="00B970EF" w:rsidRDefault="009D2E22" w:rsidP="009B3C5D">
            <w:pPr>
              <w:rPr>
                <w:rFonts w:asciiTheme="minorHAnsi" w:hAnsiTheme="minorHAnsi" w:cstheme="minorHAnsi"/>
                <w:sz w:val="22"/>
                <w:szCs w:val="22"/>
              </w:rPr>
            </w:pPr>
            <w:r w:rsidRPr="005E7DA9">
              <w:rPr>
                <w:rFonts w:asciiTheme="minorHAnsi" w:hAnsiTheme="minorHAnsi" w:cstheme="minorHAnsi"/>
                <w:sz w:val="22"/>
                <w:szCs w:val="22"/>
              </w:rPr>
              <w:t>Zgodnie z art. 52 ust. 5 rozporządzenia Komisji (UE</w:t>
            </w:r>
            <w:r>
              <w:rPr>
                <w:rFonts w:asciiTheme="minorHAnsi" w:hAnsiTheme="minorHAnsi" w:cstheme="minorHAnsi"/>
                <w:sz w:val="22"/>
                <w:szCs w:val="22"/>
              </w:rPr>
              <w:t xml:space="preserve">) nr 651/2014 z dnia 17 czerwca </w:t>
            </w:r>
            <w:r w:rsidRPr="005E7DA9">
              <w:rPr>
                <w:rFonts w:asciiTheme="minorHAnsi" w:hAnsiTheme="minorHAnsi" w:cstheme="minorHAnsi"/>
                <w:sz w:val="22"/>
                <w:szCs w:val="22"/>
              </w:rPr>
              <w:t xml:space="preserve">2014 r. uznającego </w:t>
            </w:r>
            <w:r w:rsidRPr="005E7DA9">
              <w:rPr>
                <w:rFonts w:asciiTheme="minorHAnsi" w:hAnsiTheme="minorHAnsi" w:cstheme="minorHAnsi"/>
                <w:sz w:val="22"/>
                <w:szCs w:val="22"/>
              </w:rPr>
              <w:lastRenderedPageBreak/>
              <w:t>niektóre rod</w:t>
            </w:r>
            <w:r>
              <w:rPr>
                <w:rFonts w:asciiTheme="minorHAnsi" w:hAnsiTheme="minorHAnsi" w:cstheme="minorHAnsi"/>
                <w:sz w:val="22"/>
                <w:szCs w:val="22"/>
              </w:rPr>
              <w:t xml:space="preserve">zaje pomocy za zgodne z rynkiem </w:t>
            </w:r>
            <w:r w:rsidRPr="005E7DA9">
              <w:rPr>
                <w:rFonts w:asciiTheme="minorHAnsi" w:hAnsiTheme="minorHAnsi" w:cstheme="minorHAnsi"/>
                <w:sz w:val="22"/>
                <w:szCs w:val="22"/>
              </w:rPr>
              <w:t>wewnętrznym</w:t>
            </w:r>
            <w:r>
              <w:rPr>
                <w:rFonts w:asciiTheme="minorHAnsi" w:hAnsiTheme="minorHAnsi" w:cstheme="minorHAnsi"/>
                <w:sz w:val="22"/>
                <w:szCs w:val="22"/>
              </w:rPr>
              <w:t xml:space="preserve"> </w:t>
            </w:r>
            <w:r w:rsidRPr="005E7DA9">
              <w:rPr>
                <w:rFonts w:asciiTheme="minorHAnsi" w:hAnsiTheme="minorHAnsi" w:cstheme="minorHAnsi"/>
                <w:sz w:val="22"/>
                <w:szCs w:val="22"/>
              </w:rPr>
              <w:t>w zasto</w:t>
            </w:r>
            <w:r>
              <w:rPr>
                <w:rFonts w:asciiTheme="minorHAnsi" w:hAnsiTheme="minorHAnsi" w:cstheme="minorHAnsi"/>
                <w:sz w:val="22"/>
                <w:szCs w:val="22"/>
              </w:rPr>
              <w:t xml:space="preserve">sowaniu art. 107 i 108 Traktatu </w:t>
            </w:r>
            <w:r w:rsidRPr="005E7DA9">
              <w:rPr>
                <w:rFonts w:asciiTheme="minorHAnsi" w:hAnsiTheme="minorHAnsi" w:cstheme="minorHAnsi"/>
                <w:sz w:val="22"/>
                <w:szCs w:val="22"/>
              </w:rPr>
              <w:t>(Dz. Urz. UE L 187 z 26.06.2014 r., z późn. zm.)</w:t>
            </w:r>
            <w:r>
              <w:rPr>
                <w:rFonts w:asciiTheme="minorHAnsi" w:hAnsiTheme="minorHAnsi" w:cstheme="minorHAnsi"/>
                <w:sz w:val="22"/>
                <w:szCs w:val="22"/>
              </w:rPr>
              <w:t xml:space="preserve"> </w:t>
            </w:r>
            <w:r w:rsidRPr="005E7DA9">
              <w:rPr>
                <w:rFonts w:asciiTheme="minorHAnsi" w:hAnsiTheme="minorHAnsi" w:cstheme="minorHAnsi"/>
                <w:sz w:val="22"/>
                <w:szCs w:val="22"/>
              </w:rPr>
              <w:t>projekt objęty pomocą powi</w:t>
            </w:r>
            <w:r>
              <w:rPr>
                <w:rFonts w:asciiTheme="minorHAnsi" w:hAnsiTheme="minorHAnsi" w:cstheme="minorHAnsi"/>
                <w:sz w:val="22"/>
                <w:szCs w:val="22"/>
              </w:rPr>
              <w:t xml:space="preserve">nien przynieść znaczącą poprawę </w:t>
            </w:r>
            <w:r w:rsidRPr="005E7DA9">
              <w:rPr>
                <w:rFonts w:asciiTheme="minorHAnsi" w:hAnsiTheme="minorHAnsi" w:cstheme="minorHAnsi"/>
                <w:sz w:val="22"/>
                <w:szCs w:val="22"/>
              </w:rPr>
              <w:t>dostępu usług</w:t>
            </w:r>
            <w:r>
              <w:rPr>
                <w:rFonts w:asciiTheme="minorHAnsi" w:hAnsiTheme="minorHAnsi" w:cstheme="minorHAnsi"/>
                <w:sz w:val="22"/>
                <w:szCs w:val="22"/>
              </w:rPr>
              <w:t xml:space="preserve"> </w:t>
            </w:r>
            <w:r w:rsidRPr="005E7DA9">
              <w:rPr>
                <w:rFonts w:asciiTheme="minorHAnsi" w:hAnsiTheme="minorHAnsi" w:cstheme="minorHAnsi"/>
                <w:sz w:val="22"/>
                <w:szCs w:val="22"/>
              </w:rPr>
              <w:t>szerokopasmowych w porównaniu z sieciami istniejącymi. Ponadto zgodnie z art. 52 ust. 3</w:t>
            </w:r>
            <w:r>
              <w:rPr>
                <w:rFonts w:asciiTheme="minorHAnsi" w:hAnsiTheme="minorHAnsi" w:cstheme="minorHAnsi"/>
                <w:sz w:val="22"/>
                <w:szCs w:val="22"/>
              </w:rPr>
              <w:t xml:space="preserve"> </w:t>
            </w:r>
            <w:r w:rsidRPr="005E7DA9">
              <w:rPr>
                <w:rFonts w:asciiTheme="minorHAnsi" w:hAnsiTheme="minorHAnsi" w:cstheme="minorHAnsi"/>
                <w:sz w:val="22"/>
                <w:szCs w:val="22"/>
              </w:rPr>
              <w:t>lit. b) ww. rozporząd</w:t>
            </w:r>
            <w:r>
              <w:rPr>
                <w:rFonts w:asciiTheme="minorHAnsi" w:hAnsiTheme="minorHAnsi" w:cstheme="minorHAnsi"/>
                <w:sz w:val="22"/>
                <w:szCs w:val="22"/>
              </w:rPr>
              <w:t xml:space="preserve">zenia, sieć powinna zapewnić co </w:t>
            </w:r>
            <w:r w:rsidRPr="005E7DA9">
              <w:rPr>
                <w:rFonts w:asciiTheme="minorHAnsi" w:hAnsiTheme="minorHAnsi" w:cstheme="minorHAnsi"/>
                <w:sz w:val="22"/>
                <w:szCs w:val="22"/>
              </w:rPr>
              <w:t>najmniej podwojenie prędkości</w:t>
            </w:r>
            <w:r>
              <w:rPr>
                <w:rFonts w:asciiTheme="minorHAnsi" w:hAnsiTheme="minorHAnsi" w:cstheme="minorHAnsi"/>
                <w:sz w:val="22"/>
                <w:szCs w:val="22"/>
              </w:rPr>
              <w:t xml:space="preserve"> pobierania i wysyłania </w:t>
            </w:r>
            <w:r w:rsidRPr="005E7DA9">
              <w:rPr>
                <w:rFonts w:asciiTheme="minorHAnsi" w:hAnsiTheme="minorHAnsi" w:cstheme="minorHAnsi"/>
                <w:sz w:val="22"/>
                <w:szCs w:val="22"/>
              </w:rPr>
              <w:t>danych w porównaniu</w:t>
            </w:r>
            <w:r>
              <w:rPr>
                <w:rFonts w:asciiTheme="minorHAnsi" w:hAnsiTheme="minorHAnsi" w:cstheme="minorHAnsi"/>
                <w:sz w:val="22"/>
                <w:szCs w:val="22"/>
              </w:rPr>
              <w:t xml:space="preserve"> z istniejącymi lub planowanymi </w:t>
            </w:r>
            <w:r w:rsidRPr="005E7DA9">
              <w:rPr>
                <w:rFonts w:asciiTheme="minorHAnsi" w:hAnsiTheme="minorHAnsi" w:cstheme="minorHAnsi"/>
                <w:sz w:val="22"/>
                <w:szCs w:val="22"/>
              </w:rPr>
              <w:t>w wiarygodny</w:t>
            </w:r>
            <w:r>
              <w:rPr>
                <w:rFonts w:asciiTheme="minorHAnsi" w:hAnsiTheme="minorHAnsi" w:cstheme="minorHAnsi"/>
                <w:sz w:val="22"/>
                <w:szCs w:val="22"/>
              </w:rPr>
              <w:t xml:space="preserve"> </w:t>
            </w:r>
            <w:r w:rsidRPr="005E7DA9">
              <w:rPr>
                <w:rFonts w:asciiTheme="minorHAnsi" w:hAnsiTheme="minorHAnsi" w:cstheme="minorHAnsi"/>
                <w:sz w:val="22"/>
                <w:szCs w:val="22"/>
              </w:rPr>
              <w:t>sposó</w:t>
            </w:r>
            <w:r>
              <w:rPr>
                <w:rFonts w:asciiTheme="minorHAnsi" w:hAnsiTheme="minorHAnsi" w:cstheme="minorHAnsi"/>
                <w:sz w:val="22"/>
                <w:szCs w:val="22"/>
              </w:rPr>
              <w:t xml:space="preserve">b sieciami i powinna być zdolna </w:t>
            </w:r>
            <w:r w:rsidRPr="005E7DA9">
              <w:rPr>
                <w:rFonts w:asciiTheme="minorHAnsi" w:hAnsiTheme="minorHAnsi" w:cstheme="minorHAnsi"/>
                <w:sz w:val="22"/>
                <w:szCs w:val="22"/>
              </w:rPr>
              <w:t>do zapewnienia w sposób niezawodny pobierania</w:t>
            </w:r>
            <w:r>
              <w:rPr>
                <w:rFonts w:asciiTheme="minorHAnsi" w:hAnsiTheme="minorHAnsi" w:cstheme="minorHAnsi"/>
                <w:sz w:val="22"/>
                <w:szCs w:val="22"/>
              </w:rPr>
              <w:t xml:space="preserve"> </w:t>
            </w:r>
            <w:r w:rsidRPr="005E7DA9">
              <w:rPr>
                <w:rFonts w:asciiTheme="minorHAnsi" w:hAnsiTheme="minorHAnsi" w:cstheme="minorHAnsi"/>
                <w:sz w:val="22"/>
                <w:szCs w:val="22"/>
              </w:rPr>
              <w:t>danych z prędkością c</w:t>
            </w:r>
            <w:r>
              <w:rPr>
                <w:rFonts w:asciiTheme="minorHAnsi" w:hAnsiTheme="minorHAnsi" w:cstheme="minorHAnsi"/>
                <w:sz w:val="22"/>
                <w:szCs w:val="22"/>
              </w:rPr>
              <w:t xml:space="preserve">o najmniej 300 Mb/s i wysyłania </w:t>
            </w:r>
            <w:r w:rsidRPr="005E7DA9">
              <w:rPr>
                <w:rFonts w:asciiTheme="minorHAnsi" w:hAnsiTheme="minorHAnsi" w:cstheme="minorHAnsi"/>
                <w:sz w:val="22"/>
                <w:szCs w:val="22"/>
              </w:rPr>
              <w:t>danych z prędkością co najmniej</w:t>
            </w:r>
            <w:r>
              <w:rPr>
                <w:rFonts w:asciiTheme="minorHAnsi" w:hAnsiTheme="minorHAnsi" w:cstheme="minorHAnsi"/>
                <w:sz w:val="22"/>
                <w:szCs w:val="22"/>
              </w:rPr>
              <w:t xml:space="preserve"> 100 Mb/s (prędkości </w:t>
            </w:r>
            <w:r w:rsidRPr="005E7DA9">
              <w:rPr>
                <w:rFonts w:asciiTheme="minorHAnsi" w:hAnsiTheme="minorHAnsi" w:cstheme="minorHAnsi"/>
                <w:sz w:val="22"/>
                <w:szCs w:val="22"/>
              </w:rPr>
              <w:t xml:space="preserve">docelowe). </w:t>
            </w:r>
            <w:r>
              <w:rPr>
                <w:rFonts w:asciiTheme="minorHAnsi" w:hAnsiTheme="minorHAnsi" w:cstheme="minorHAnsi"/>
                <w:sz w:val="22"/>
                <w:szCs w:val="22"/>
              </w:rPr>
              <w:t xml:space="preserve">W związku z powyższym proponuję </w:t>
            </w:r>
            <w:r w:rsidRPr="005E7DA9">
              <w:rPr>
                <w:rFonts w:asciiTheme="minorHAnsi" w:hAnsiTheme="minorHAnsi" w:cstheme="minorHAnsi"/>
                <w:sz w:val="22"/>
                <w:szCs w:val="22"/>
              </w:rPr>
              <w:t>odpowiednio</w:t>
            </w:r>
            <w:r>
              <w:rPr>
                <w:rFonts w:asciiTheme="minorHAnsi" w:hAnsiTheme="minorHAnsi" w:cstheme="minorHAnsi"/>
                <w:sz w:val="22"/>
                <w:szCs w:val="22"/>
              </w:rPr>
              <w:t xml:space="preserve"> </w:t>
            </w:r>
            <w:r w:rsidRPr="005E7DA9">
              <w:rPr>
                <w:rFonts w:asciiTheme="minorHAnsi" w:hAnsiTheme="minorHAnsi" w:cstheme="minorHAnsi"/>
                <w:sz w:val="22"/>
                <w:szCs w:val="22"/>
              </w:rPr>
              <w:t>doprecyzować w tym zakresie projekt rozporządzenia.</w:t>
            </w:r>
          </w:p>
        </w:tc>
        <w:tc>
          <w:tcPr>
            <w:tcW w:w="3260" w:type="dxa"/>
            <w:shd w:val="clear" w:color="auto" w:fill="auto"/>
          </w:tcPr>
          <w:p w14:paraId="6F0FCB5D" w14:textId="4879CCCE" w:rsidR="009D2E22" w:rsidRPr="00B970EF" w:rsidRDefault="009D2E22" w:rsidP="009D2E22">
            <w:pPr>
              <w:rPr>
                <w:rFonts w:asciiTheme="minorHAnsi" w:hAnsiTheme="minorHAnsi" w:cstheme="minorHAnsi"/>
                <w:sz w:val="22"/>
                <w:szCs w:val="22"/>
              </w:rPr>
            </w:pPr>
          </w:p>
        </w:tc>
        <w:tc>
          <w:tcPr>
            <w:tcW w:w="3260" w:type="dxa"/>
          </w:tcPr>
          <w:p w14:paraId="605DF919" w14:textId="77777777" w:rsidR="009D2E22" w:rsidRDefault="009D2E22" w:rsidP="009D2E22">
            <w:pPr>
              <w:rPr>
                <w:rFonts w:asciiTheme="minorHAnsi" w:hAnsiTheme="minorHAnsi" w:cstheme="minorHAnsi"/>
                <w:sz w:val="22"/>
                <w:szCs w:val="22"/>
              </w:rPr>
            </w:pPr>
            <w:r>
              <w:rPr>
                <w:rFonts w:asciiTheme="minorHAnsi" w:hAnsiTheme="minorHAnsi" w:cstheme="minorHAnsi"/>
                <w:sz w:val="22"/>
                <w:szCs w:val="22"/>
              </w:rPr>
              <w:t>Uwaga nieuwzględniona</w:t>
            </w:r>
          </w:p>
          <w:p w14:paraId="102A2CF2" w14:textId="77777777" w:rsidR="009D2E22" w:rsidRDefault="009D2E22" w:rsidP="009D2E22">
            <w:pPr>
              <w:rPr>
                <w:rFonts w:asciiTheme="minorHAnsi" w:hAnsiTheme="minorHAnsi" w:cstheme="minorHAnsi"/>
                <w:sz w:val="22"/>
                <w:szCs w:val="22"/>
              </w:rPr>
            </w:pPr>
          </w:p>
          <w:p w14:paraId="4BF9A5FF" w14:textId="3D0AF2DE" w:rsidR="009D2E22" w:rsidRDefault="009D2E22" w:rsidP="009D2E22">
            <w:pPr>
              <w:rPr>
                <w:rFonts w:asciiTheme="minorHAnsi" w:hAnsiTheme="minorHAnsi" w:cstheme="minorHAnsi"/>
                <w:sz w:val="22"/>
                <w:szCs w:val="22"/>
              </w:rPr>
            </w:pPr>
            <w:r>
              <w:rPr>
                <w:rFonts w:asciiTheme="minorHAnsi" w:hAnsiTheme="minorHAnsi" w:cstheme="minorHAnsi"/>
                <w:sz w:val="22"/>
                <w:szCs w:val="22"/>
              </w:rPr>
              <w:lastRenderedPageBreak/>
              <w:t>Sieci szerokopasmowe, które będą przedmiotem pomocy publicznej udzielanej na podstawie projektowanego rozporządzenia, będą umożliwiać świadczenie usług o przepustowościach gigabitowych, co spełni wymaganie określone w rozporządzeniu nr 651/2014. Jednocześnie zostanie to uregulowane w tzw. wymaganiach technicznych, stanowiących jeden z załączników do umowy o objęcie przedsięwzięcia wsparciem – zgodnie z dotychczasową praktyką programów pomocowych w obszarze sieci szerokopasmowych (vide pomoc publiczna udzielana ze środków I osi priorytetowej Programu Operacyjnego Polska Cyfrowa na podstawie rozporządzenia Ministra Administracji i Cyfryzacji z dnia 16 września 2015 r. w sprawie udzielania pomocy na rozwój infrastruktury szerokopasmowej w ramach Programu Operacyjnego Polska Cyfrowa na lata 2014-2020). Projektodawca proponuje podtrzymać tę praktykę i nie regulować tej kwestii bezpośrednio w treści rozporządzenia.</w:t>
            </w:r>
          </w:p>
        </w:tc>
      </w:tr>
      <w:tr w:rsidR="009D2E22" w:rsidRPr="00A06425" w14:paraId="06C497EF" w14:textId="77777777" w:rsidTr="00965831">
        <w:tc>
          <w:tcPr>
            <w:tcW w:w="562" w:type="dxa"/>
            <w:shd w:val="clear" w:color="auto" w:fill="auto"/>
          </w:tcPr>
          <w:p w14:paraId="5ACAB3AD" w14:textId="77777777" w:rsidR="009D2E22" w:rsidRPr="00965831" w:rsidRDefault="009D2E22" w:rsidP="00965831">
            <w:pPr>
              <w:pStyle w:val="Akapitzlist"/>
              <w:numPr>
                <w:ilvl w:val="0"/>
                <w:numId w:val="3"/>
              </w:numPr>
              <w:spacing w:before="120" w:after="120"/>
              <w:ind w:left="454" w:hanging="454"/>
              <w:rPr>
                <w:rFonts w:asciiTheme="minorHAnsi" w:hAnsiTheme="minorHAnsi" w:cstheme="minorHAnsi"/>
                <w:b/>
                <w:sz w:val="22"/>
                <w:szCs w:val="22"/>
              </w:rPr>
            </w:pPr>
          </w:p>
        </w:tc>
        <w:tc>
          <w:tcPr>
            <w:tcW w:w="1134" w:type="dxa"/>
            <w:shd w:val="clear" w:color="auto" w:fill="auto"/>
          </w:tcPr>
          <w:p w14:paraId="2D5BD5B5" w14:textId="06CE8734" w:rsidR="009D2E22" w:rsidRPr="00C15CF3" w:rsidRDefault="009D2E22" w:rsidP="002550A9">
            <w:pPr>
              <w:spacing w:before="60" w:after="60"/>
              <w:rPr>
                <w:rFonts w:asciiTheme="minorHAnsi" w:hAnsiTheme="minorHAnsi" w:cstheme="minorHAnsi"/>
                <w:b/>
                <w:sz w:val="22"/>
                <w:szCs w:val="22"/>
              </w:rPr>
            </w:pPr>
            <w:r>
              <w:rPr>
                <w:rFonts w:asciiTheme="minorHAnsi" w:hAnsiTheme="minorHAnsi" w:cstheme="minorHAnsi"/>
                <w:b/>
                <w:sz w:val="22"/>
                <w:szCs w:val="22"/>
              </w:rPr>
              <w:t>UOKiK</w:t>
            </w:r>
          </w:p>
        </w:tc>
        <w:tc>
          <w:tcPr>
            <w:tcW w:w="1843" w:type="dxa"/>
            <w:shd w:val="clear" w:color="auto" w:fill="auto"/>
          </w:tcPr>
          <w:p w14:paraId="37223CC6" w14:textId="5304B155" w:rsidR="009D2E22" w:rsidRPr="00B970EF" w:rsidRDefault="009D2E22" w:rsidP="009B3C5D">
            <w:pPr>
              <w:rPr>
                <w:rFonts w:asciiTheme="minorHAnsi" w:hAnsiTheme="minorHAnsi" w:cstheme="minorHAnsi"/>
                <w:sz w:val="22"/>
                <w:szCs w:val="22"/>
              </w:rPr>
            </w:pPr>
          </w:p>
        </w:tc>
        <w:tc>
          <w:tcPr>
            <w:tcW w:w="5103" w:type="dxa"/>
            <w:shd w:val="clear" w:color="auto" w:fill="auto"/>
          </w:tcPr>
          <w:p w14:paraId="2E4C5BC2" w14:textId="77777777" w:rsidR="009D2E22" w:rsidRPr="005E7DA9" w:rsidRDefault="009D2E22" w:rsidP="009D2E22">
            <w:pPr>
              <w:rPr>
                <w:rFonts w:asciiTheme="minorHAnsi" w:hAnsiTheme="minorHAnsi" w:cstheme="minorHAnsi"/>
                <w:sz w:val="22"/>
                <w:szCs w:val="22"/>
              </w:rPr>
            </w:pPr>
            <w:r w:rsidRPr="005E7DA9">
              <w:rPr>
                <w:rFonts w:asciiTheme="minorHAnsi" w:hAnsiTheme="minorHAnsi" w:cstheme="minorHAnsi"/>
                <w:sz w:val="22"/>
                <w:szCs w:val="22"/>
              </w:rPr>
              <w:t>Pragnę również zwrócić uwagę, iż Komisja Euro</w:t>
            </w:r>
            <w:r>
              <w:rPr>
                <w:rFonts w:asciiTheme="minorHAnsi" w:hAnsiTheme="minorHAnsi" w:cstheme="minorHAnsi"/>
                <w:sz w:val="22"/>
                <w:szCs w:val="22"/>
              </w:rPr>
              <w:t xml:space="preserve">pejska prowadzi obecnie prace </w:t>
            </w:r>
            <w:r w:rsidRPr="005E7DA9">
              <w:rPr>
                <w:rFonts w:asciiTheme="minorHAnsi" w:hAnsiTheme="minorHAnsi" w:cstheme="minorHAnsi"/>
                <w:sz w:val="22"/>
                <w:szCs w:val="22"/>
              </w:rPr>
              <w:t xml:space="preserve">legislacyjne nad nowelizacją rozporządzenia Komisji (UE) nr 651/20141 m.in. w </w:t>
            </w:r>
            <w:r w:rsidRPr="005E7DA9">
              <w:rPr>
                <w:rFonts w:asciiTheme="minorHAnsi" w:hAnsiTheme="minorHAnsi" w:cstheme="minorHAnsi"/>
                <w:sz w:val="22"/>
                <w:szCs w:val="22"/>
              </w:rPr>
              <w:lastRenderedPageBreak/>
              <w:t>zakresie</w:t>
            </w:r>
            <w:r>
              <w:rPr>
                <w:rFonts w:asciiTheme="minorHAnsi" w:hAnsiTheme="minorHAnsi" w:cstheme="minorHAnsi"/>
                <w:sz w:val="22"/>
                <w:szCs w:val="22"/>
              </w:rPr>
              <w:t xml:space="preserve"> </w:t>
            </w:r>
            <w:r w:rsidRPr="005E7DA9">
              <w:rPr>
                <w:rFonts w:asciiTheme="minorHAnsi" w:hAnsiTheme="minorHAnsi" w:cstheme="minorHAnsi"/>
                <w:sz w:val="22"/>
                <w:szCs w:val="22"/>
              </w:rPr>
              <w:t>art. 52, do którego odwołuje się projekt przedmiotowego rozporządzenia Ministra</w:t>
            </w:r>
            <w:r>
              <w:rPr>
                <w:rFonts w:asciiTheme="minorHAnsi" w:hAnsiTheme="minorHAnsi" w:cstheme="minorHAnsi"/>
                <w:sz w:val="22"/>
                <w:szCs w:val="22"/>
              </w:rPr>
              <w:t xml:space="preserve"> </w:t>
            </w:r>
            <w:r w:rsidRPr="005E7DA9">
              <w:rPr>
                <w:rFonts w:asciiTheme="minorHAnsi" w:hAnsiTheme="minorHAnsi" w:cstheme="minorHAnsi"/>
                <w:sz w:val="22"/>
                <w:szCs w:val="22"/>
              </w:rPr>
              <w:t>Cyfryzacji. Jednocześni</w:t>
            </w:r>
            <w:r>
              <w:rPr>
                <w:rFonts w:asciiTheme="minorHAnsi" w:hAnsiTheme="minorHAnsi" w:cstheme="minorHAnsi"/>
                <w:sz w:val="22"/>
                <w:szCs w:val="22"/>
              </w:rPr>
              <w:t xml:space="preserve">e planowane jest dodanie nowego </w:t>
            </w:r>
            <w:r w:rsidRPr="005E7DA9">
              <w:rPr>
                <w:rFonts w:asciiTheme="minorHAnsi" w:hAnsiTheme="minorHAnsi" w:cstheme="minorHAnsi"/>
                <w:sz w:val="22"/>
                <w:szCs w:val="22"/>
              </w:rPr>
              <w:t>przeznaczenia pomocy na sieci</w:t>
            </w:r>
            <w:r>
              <w:rPr>
                <w:rFonts w:asciiTheme="minorHAnsi" w:hAnsiTheme="minorHAnsi" w:cstheme="minorHAnsi"/>
                <w:sz w:val="22"/>
                <w:szCs w:val="22"/>
              </w:rPr>
              <w:t xml:space="preserve"> dosyłowe </w:t>
            </w:r>
            <w:r w:rsidRPr="005E7DA9">
              <w:rPr>
                <w:rFonts w:asciiTheme="minorHAnsi" w:hAnsiTheme="minorHAnsi" w:cstheme="minorHAnsi"/>
                <w:sz w:val="22"/>
                <w:szCs w:val="22"/>
              </w:rPr>
              <w:t>(projektowany art. 52d). W związku z powyższym jeszcze w trakcie prac</w:t>
            </w:r>
            <w:r>
              <w:rPr>
                <w:rFonts w:asciiTheme="minorHAnsi" w:hAnsiTheme="minorHAnsi" w:cstheme="minorHAnsi"/>
                <w:sz w:val="22"/>
                <w:szCs w:val="22"/>
              </w:rPr>
              <w:t xml:space="preserve"> </w:t>
            </w:r>
            <w:r w:rsidRPr="005E7DA9">
              <w:rPr>
                <w:rFonts w:asciiTheme="minorHAnsi" w:hAnsiTheme="minorHAnsi" w:cstheme="minorHAnsi"/>
                <w:sz w:val="22"/>
                <w:szCs w:val="22"/>
              </w:rPr>
              <w:t>legislacyjnych nad projektem rozporządzenia Ministra Cyfryzacji, może zaistnieć</w:t>
            </w:r>
          </w:p>
          <w:p w14:paraId="37823E5D" w14:textId="4268E43D" w:rsidR="009D2E22" w:rsidRPr="00B970EF" w:rsidRDefault="009D2E22" w:rsidP="009D2E22">
            <w:pPr>
              <w:rPr>
                <w:rFonts w:asciiTheme="minorHAnsi" w:hAnsiTheme="minorHAnsi" w:cstheme="minorHAnsi"/>
                <w:sz w:val="22"/>
                <w:szCs w:val="22"/>
              </w:rPr>
            </w:pPr>
            <w:r w:rsidRPr="005E7DA9">
              <w:rPr>
                <w:rFonts w:asciiTheme="minorHAnsi" w:hAnsiTheme="minorHAnsi" w:cstheme="minorHAnsi"/>
                <w:sz w:val="22"/>
                <w:szCs w:val="22"/>
              </w:rPr>
              <w:t>konieczność jego dostosowania do znowelizowanych przepisów rozporządze</w:t>
            </w:r>
            <w:r>
              <w:rPr>
                <w:rFonts w:asciiTheme="minorHAnsi" w:hAnsiTheme="minorHAnsi" w:cstheme="minorHAnsi"/>
                <w:sz w:val="22"/>
                <w:szCs w:val="22"/>
              </w:rPr>
              <w:t xml:space="preserve">nia Komisji </w:t>
            </w:r>
            <w:r w:rsidRPr="005E7DA9">
              <w:rPr>
                <w:rFonts w:asciiTheme="minorHAnsi" w:hAnsiTheme="minorHAnsi" w:cstheme="minorHAnsi"/>
                <w:sz w:val="22"/>
                <w:szCs w:val="22"/>
              </w:rPr>
              <w:t>(UE) nr 651/2014.</w:t>
            </w:r>
          </w:p>
        </w:tc>
        <w:tc>
          <w:tcPr>
            <w:tcW w:w="3260" w:type="dxa"/>
            <w:shd w:val="clear" w:color="auto" w:fill="auto"/>
          </w:tcPr>
          <w:p w14:paraId="1A9F45BC" w14:textId="54F7F4B2" w:rsidR="009D2E22" w:rsidRPr="00B970EF" w:rsidRDefault="009D2E22" w:rsidP="009D2E22">
            <w:pPr>
              <w:rPr>
                <w:rFonts w:asciiTheme="minorHAnsi" w:hAnsiTheme="minorHAnsi" w:cstheme="minorHAnsi"/>
                <w:sz w:val="22"/>
                <w:szCs w:val="22"/>
              </w:rPr>
            </w:pPr>
          </w:p>
        </w:tc>
        <w:tc>
          <w:tcPr>
            <w:tcW w:w="3260" w:type="dxa"/>
          </w:tcPr>
          <w:p w14:paraId="38219BCF" w14:textId="77777777" w:rsidR="009D2E22" w:rsidRDefault="009D2E22" w:rsidP="009D2E22">
            <w:pPr>
              <w:rPr>
                <w:rFonts w:asciiTheme="minorHAnsi" w:hAnsiTheme="minorHAnsi" w:cstheme="minorHAnsi"/>
                <w:sz w:val="22"/>
                <w:szCs w:val="22"/>
              </w:rPr>
            </w:pPr>
            <w:r>
              <w:rPr>
                <w:rFonts w:asciiTheme="minorHAnsi" w:hAnsiTheme="minorHAnsi" w:cstheme="minorHAnsi"/>
                <w:sz w:val="22"/>
                <w:szCs w:val="22"/>
              </w:rPr>
              <w:t>Uwaga nieuwzględniona</w:t>
            </w:r>
          </w:p>
          <w:p w14:paraId="7C633394" w14:textId="77777777" w:rsidR="009D2E22" w:rsidRDefault="009D2E22" w:rsidP="009D2E22">
            <w:pPr>
              <w:rPr>
                <w:rFonts w:asciiTheme="minorHAnsi" w:hAnsiTheme="minorHAnsi" w:cstheme="minorHAnsi"/>
                <w:sz w:val="22"/>
                <w:szCs w:val="22"/>
              </w:rPr>
            </w:pPr>
          </w:p>
          <w:p w14:paraId="6B430FDE" w14:textId="04BEBDBD" w:rsidR="009D2E22" w:rsidRDefault="009D2E22" w:rsidP="009D2E22">
            <w:pPr>
              <w:rPr>
                <w:rFonts w:asciiTheme="minorHAnsi" w:hAnsiTheme="minorHAnsi" w:cstheme="minorHAnsi"/>
                <w:sz w:val="22"/>
                <w:szCs w:val="22"/>
              </w:rPr>
            </w:pPr>
            <w:r>
              <w:rPr>
                <w:rFonts w:asciiTheme="minorHAnsi" w:hAnsiTheme="minorHAnsi" w:cstheme="minorHAnsi"/>
                <w:sz w:val="22"/>
                <w:szCs w:val="22"/>
              </w:rPr>
              <w:lastRenderedPageBreak/>
              <w:t>Tzw. sieci dosyłowe nie będą przeznaczeniem pomocy publicznej udzielanej na podstawie projektowanego rozporządzenia.</w:t>
            </w:r>
          </w:p>
        </w:tc>
      </w:tr>
    </w:tbl>
    <w:p w14:paraId="55631D59"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2BCCE" w14:textId="77777777" w:rsidR="00EC27D5" w:rsidRDefault="00EC27D5" w:rsidP="00965831">
      <w:r>
        <w:separator/>
      </w:r>
    </w:p>
  </w:endnote>
  <w:endnote w:type="continuationSeparator" w:id="0">
    <w:p w14:paraId="67FD4226" w14:textId="77777777" w:rsidR="00EC27D5" w:rsidRDefault="00EC27D5" w:rsidP="0096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71AC5" w14:textId="77777777" w:rsidR="00EC27D5" w:rsidRDefault="00EC27D5" w:rsidP="00965831">
      <w:r>
        <w:separator/>
      </w:r>
    </w:p>
  </w:footnote>
  <w:footnote w:type="continuationSeparator" w:id="0">
    <w:p w14:paraId="77D9E26B" w14:textId="77777777" w:rsidR="00EC27D5" w:rsidRDefault="00EC27D5" w:rsidP="009658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87D206F"/>
    <w:multiLevelType w:val="hybridMultilevel"/>
    <w:tmpl w:val="E12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9A40314"/>
    <w:multiLevelType w:val="hybridMultilevel"/>
    <w:tmpl w:val="C226DD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3FE7"/>
    <w:rsid w:val="000118FC"/>
    <w:rsid w:val="00034258"/>
    <w:rsid w:val="00054B17"/>
    <w:rsid w:val="00065504"/>
    <w:rsid w:val="000658E0"/>
    <w:rsid w:val="00083029"/>
    <w:rsid w:val="000864B9"/>
    <w:rsid w:val="000A353E"/>
    <w:rsid w:val="000D3C0A"/>
    <w:rsid w:val="000F3B9A"/>
    <w:rsid w:val="0010350B"/>
    <w:rsid w:val="00111FFB"/>
    <w:rsid w:val="00114364"/>
    <w:rsid w:val="00140BE8"/>
    <w:rsid w:val="0015604A"/>
    <w:rsid w:val="00164E3E"/>
    <w:rsid w:val="00182934"/>
    <w:rsid w:val="0019648E"/>
    <w:rsid w:val="001A1952"/>
    <w:rsid w:val="001B7DF6"/>
    <w:rsid w:val="002118F0"/>
    <w:rsid w:val="002550A9"/>
    <w:rsid w:val="002557C7"/>
    <w:rsid w:val="002715B2"/>
    <w:rsid w:val="00272A2E"/>
    <w:rsid w:val="0028379D"/>
    <w:rsid w:val="002A01A3"/>
    <w:rsid w:val="002C36A4"/>
    <w:rsid w:val="002F0F2A"/>
    <w:rsid w:val="00307BC0"/>
    <w:rsid w:val="003124D1"/>
    <w:rsid w:val="00345B67"/>
    <w:rsid w:val="0037239A"/>
    <w:rsid w:val="003B4105"/>
    <w:rsid w:val="003C453A"/>
    <w:rsid w:val="00423004"/>
    <w:rsid w:val="00471627"/>
    <w:rsid w:val="0047282D"/>
    <w:rsid w:val="004825D7"/>
    <w:rsid w:val="00487E3B"/>
    <w:rsid w:val="004A17EA"/>
    <w:rsid w:val="004D042C"/>
    <w:rsid w:val="004D086F"/>
    <w:rsid w:val="00506CA0"/>
    <w:rsid w:val="00520FEB"/>
    <w:rsid w:val="00534931"/>
    <w:rsid w:val="0054501B"/>
    <w:rsid w:val="0056284E"/>
    <w:rsid w:val="00565471"/>
    <w:rsid w:val="005674DD"/>
    <w:rsid w:val="005A4C78"/>
    <w:rsid w:val="005A6843"/>
    <w:rsid w:val="005F6527"/>
    <w:rsid w:val="005F69FF"/>
    <w:rsid w:val="00621B04"/>
    <w:rsid w:val="00622616"/>
    <w:rsid w:val="00623238"/>
    <w:rsid w:val="006338C1"/>
    <w:rsid w:val="006407DB"/>
    <w:rsid w:val="00645C6B"/>
    <w:rsid w:val="00647C82"/>
    <w:rsid w:val="006705EC"/>
    <w:rsid w:val="0068658D"/>
    <w:rsid w:val="006B693E"/>
    <w:rsid w:val="006E16E9"/>
    <w:rsid w:val="00703611"/>
    <w:rsid w:val="00704204"/>
    <w:rsid w:val="00710A8A"/>
    <w:rsid w:val="007429DB"/>
    <w:rsid w:val="0078005C"/>
    <w:rsid w:val="007F03A5"/>
    <w:rsid w:val="00807385"/>
    <w:rsid w:val="0084080C"/>
    <w:rsid w:val="0085150F"/>
    <w:rsid w:val="008A3D6E"/>
    <w:rsid w:val="008D6E47"/>
    <w:rsid w:val="008E6BEA"/>
    <w:rsid w:val="008F187A"/>
    <w:rsid w:val="00934466"/>
    <w:rsid w:val="00944932"/>
    <w:rsid w:val="00965831"/>
    <w:rsid w:val="00970FC4"/>
    <w:rsid w:val="00972A9A"/>
    <w:rsid w:val="009743DE"/>
    <w:rsid w:val="009A311D"/>
    <w:rsid w:val="009A4F0D"/>
    <w:rsid w:val="009B3C5D"/>
    <w:rsid w:val="009D20DF"/>
    <w:rsid w:val="009D2E22"/>
    <w:rsid w:val="009D49EC"/>
    <w:rsid w:val="009E52C3"/>
    <w:rsid w:val="009E5FDB"/>
    <w:rsid w:val="009E7EEA"/>
    <w:rsid w:val="00A04361"/>
    <w:rsid w:val="00A06425"/>
    <w:rsid w:val="00A274D8"/>
    <w:rsid w:val="00A32F40"/>
    <w:rsid w:val="00A44916"/>
    <w:rsid w:val="00A62A03"/>
    <w:rsid w:val="00A81209"/>
    <w:rsid w:val="00A82E5B"/>
    <w:rsid w:val="00A943D4"/>
    <w:rsid w:val="00AB4D0F"/>
    <w:rsid w:val="00AB7145"/>
    <w:rsid w:val="00AC20D5"/>
    <w:rsid w:val="00AC7796"/>
    <w:rsid w:val="00AD126D"/>
    <w:rsid w:val="00B5050D"/>
    <w:rsid w:val="00B52E79"/>
    <w:rsid w:val="00B72712"/>
    <w:rsid w:val="00B871B6"/>
    <w:rsid w:val="00B970EF"/>
    <w:rsid w:val="00BA7A11"/>
    <w:rsid w:val="00BC036A"/>
    <w:rsid w:val="00BC6B85"/>
    <w:rsid w:val="00BC7F97"/>
    <w:rsid w:val="00BD5B6B"/>
    <w:rsid w:val="00BD62F4"/>
    <w:rsid w:val="00BE0823"/>
    <w:rsid w:val="00C12D19"/>
    <w:rsid w:val="00C2188F"/>
    <w:rsid w:val="00C2329E"/>
    <w:rsid w:val="00C36FCA"/>
    <w:rsid w:val="00C50A6B"/>
    <w:rsid w:val="00C553F4"/>
    <w:rsid w:val="00C56224"/>
    <w:rsid w:val="00C62AE1"/>
    <w:rsid w:val="00C64B1B"/>
    <w:rsid w:val="00C76D80"/>
    <w:rsid w:val="00C938E0"/>
    <w:rsid w:val="00CA5194"/>
    <w:rsid w:val="00CB7F49"/>
    <w:rsid w:val="00CD5EB0"/>
    <w:rsid w:val="00D03503"/>
    <w:rsid w:val="00D43B75"/>
    <w:rsid w:val="00D70AFE"/>
    <w:rsid w:val="00DA7F84"/>
    <w:rsid w:val="00DB5DFF"/>
    <w:rsid w:val="00E14C33"/>
    <w:rsid w:val="00E260CB"/>
    <w:rsid w:val="00E3279A"/>
    <w:rsid w:val="00E61728"/>
    <w:rsid w:val="00E76B1A"/>
    <w:rsid w:val="00EC27D5"/>
    <w:rsid w:val="00ED0F67"/>
    <w:rsid w:val="00F01B59"/>
    <w:rsid w:val="00F20F25"/>
    <w:rsid w:val="00F24A72"/>
    <w:rsid w:val="00F763B2"/>
    <w:rsid w:val="00FC58F0"/>
    <w:rsid w:val="00FD732B"/>
    <w:rsid w:val="00FE3A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31D2C"/>
  <w15:docId w15:val="{713C9AC7-E2F6-47A4-8D14-8BCC6497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paragraph" w:styleId="Tekstkomentarza">
    <w:name w:val="annotation text"/>
    <w:basedOn w:val="Normalny"/>
    <w:link w:val="TekstkomentarzaZnak"/>
    <w:semiHidden/>
    <w:unhideWhenUsed/>
    <w:rsid w:val="00AB4D0F"/>
    <w:rPr>
      <w:sz w:val="20"/>
      <w:szCs w:val="20"/>
    </w:rPr>
  </w:style>
  <w:style w:type="character" w:customStyle="1" w:styleId="TekstkomentarzaZnak">
    <w:name w:val="Tekst komentarza Znak"/>
    <w:basedOn w:val="Domylnaczcionkaakapitu"/>
    <w:link w:val="Tekstkomentarza"/>
    <w:semiHidden/>
    <w:rsid w:val="00AB4D0F"/>
  </w:style>
  <w:style w:type="character" w:styleId="Odwoaniedokomentarza">
    <w:name w:val="annotation reference"/>
    <w:basedOn w:val="Domylnaczcionkaakapitu"/>
    <w:uiPriority w:val="99"/>
    <w:semiHidden/>
    <w:rsid w:val="00AB4D0F"/>
    <w:rPr>
      <w:sz w:val="16"/>
      <w:szCs w:val="16"/>
    </w:rPr>
  </w:style>
  <w:style w:type="paragraph" w:styleId="Akapitzlist">
    <w:name w:val="List Paragraph"/>
    <w:basedOn w:val="Normalny"/>
    <w:uiPriority w:val="34"/>
    <w:qFormat/>
    <w:rsid w:val="00AB4D0F"/>
    <w:pPr>
      <w:ind w:left="720"/>
      <w:contextualSpacing/>
    </w:pPr>
  </w:style>
  <w:style w:type="paragraph" w:styleId="Tekstprzypisukocowego">
    <w:name w:val="endnote text"/>
    <w:basedOn w:val="Normalny"/>
    <w:link w:val="TekstprzypisukocowegoZnak"/>
    <w:semiHidden/>
    <w:unhideWhenUsed/>
    <w:rsid w:val="00965831"/>
    <w:rPr>
      <w:sz w:val="20"/>
      <w:szCs w:val="20"/>
    </w:rPr>
  </w:style>
  <w:style w:type="character" w:customStyle="1" w:styleId="TekstprzypisukocowegoZnak">
    <w:name w:val="Tekst przypisu końcowego Znak"/>
    <w:basedOn w:val="Domylnaczcionkaakapitu"/>
    <w:link w:val="Tekstprzypisukocowego"/>
    <w:semiHidden/>
    <w:rsid w:val="00965831"/>
  </w:style>
  <w:style w:type="character" w:styleId="Odwoanieprzypisukocowego">
    <w:name w:val="endnote reference"/>
    <w:basedOn w:val="Domylnaczcionkaakapitu"/>
    <w:semiHidden/>
    <w:unhideWhenUsed/>
    <w:rsid w:val="00965831"/>
    <w:rPr>
      <w:vertAlign w:val="superscript"/>
    </w:rPr>
  </w:style>
  <w:style w:type="paragraph" w:styleId="Tematkomentarza">
    <w:name w:val="annotation subject"/>
    <w:basedOn w:val="Tekstkomentarza"/>
    <w:next w:val="Tekstkomentarza"/>
    <w:link w:val="TematkomentarzaZnak"/>
    <w:semiHidden/>
    <w:unhideWhenUsed/>
    <w:rsid w:val="00703611"/>
    <w:rPr>
      <w:b/>
      <w:bCs/>
    </w:rPr>
  </w:style>
  <w:style w:type="character" w:customStyle="1" w:styleId="TematkomentarzaZnak">
    <w:name w:val="Temat komentarza Znak"/>
    <w:basedOn w:val="TekstkomentarzaZnak"/>
    <w:link w:val="Tematkomentarza"/>
    <w:semiHidden/>
    <w:rsid w:val="007036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7524</Words>
  <Characters>45147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Grochowska Agnieszka</cp:lastModifiedBy>
  <cp:revision>2</cp:revision>
  <dcterms:created xsi:type="dcterms:W3CDTF">2022-11-04T15:00:00Z</dcterms:created>
  <dcterms:modified xsi:type="dcterms:W3CDTF">2022-11-04T15:00:00Z</dcterms:modified>
</cp:coreProperties>
</file>